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F63592">
      <w:pPr>
        <w:adjustRightInd w:val="0"/>
        <w:snapToGrid w:val="0"/>
        <w:spacing w:line="594" w:lineRule="exact"/>
        <w:jc w:val="center"/>
        <w:rPr>
          <w:rFonts w:eastAsia="方正小标宋简体" w:cs="方正仿宋简体"/>
          <w:color w:val="000000"/>
          <w:sz w:val="32"/>
          <w:szCs w:val="32"/>
        </w:rPr>
      </w:pPr>
      <w:bookmarkStart w:id="0" w:name="_Hlk102659035"/>
      <w:r>
        <w:rPr>
          <w:rFonts w:hint="eastAsia" w:eastAsia="方正小标宋简体" w:cs="方正仿宋简体"/>
          <w:color w:val="000000"/>
          <w:sz w:val="32"/>
          <w:szCs w:val="32"/>
          <w:lang w:val="en-US" w:eastAsia="zh-CN"/>
        </w:rPr>
        <w:t>呼和浩特市</w:t>
      </w:r>
      <w:r>
        <w:rPr>
          <w:rFonts w:hint="eastAsia" w:eastAsia="方正小标宋简体" w:cs="方正仿宋简体"/>
          <w:color w:val="000000"/>
          <w:sz w:val="32"/>
          <w:szCs w:val="32"/>
        </w:rPr>
        <w:t>塑料一次性餐饮具</w:t>
      </w:r>
      <w:bookmarkEnd w:id="0"/>
      <w:r>
        <w:rPr>
          <w:rFonts w:hint="eastAsia" w:eastAsia="方正小标宋简体" w:cs="方正仿宋简体"/>
          <w:color w:val="000000"/>
          <w:sz w:val="32"/>
          <w:szCs w:val="32"/>
        </w:rPr>
        <w:t>产品质量监督抽查实施细则</w:t>
      </w:r>
    </w:p>
    <w:p w14:paraId="3650787C">
      <w:pPr>
        <w:spacing w:line="440" w:lineRule="exact"/>
        <w:jc w:val="center"/>
        <w:rPr>
          <w:rFonts w:eastAsia="方正小标宋简体"/>
          <w:color w:val="000000"/>
          <w:sz w:val="32"/>
          <w:szCs w:val="32"/>
        </w:rPr>
      </w:pPr>
      <w:r>
        <w:rPr>
          <w:rFonts w:hint="eastAsia" w:eastAsia="方正小标宋简体" w:cs="方正仿宋简体"/>
          <w:color w:val="000000"/>
          <w:sz w:val="32"/>
          <w:szCs w:val="32"/>
        </w:rPr>
        <w:t>（202</w:t>
      </w:r>
      <w:r>
        <w:rPr>
          <w:rFonts w:hint="eastAsia" w:eastAsia="方正小标宋简体" w:cs="方正仿宋简体"/>
          <w:color w:val="000000"/>
          <w:sz w:val="32"/>
          <w:szCs w:val="32"/>
          <w:lang w:val="en-US" w:eastAsia="zh-CN"/>
        </w:rPr>
        <w:t>5</w:t>
      </w:r>
      <w:r>
        <w:rPr>
          <w:rFonts w:hint="eastAsia" w:eastAsia="方正小标宋简体" w:cs="方正仿宋简体"/>
          <w:color w:val="000000"/>
          <w:sz w:val="32"/>
          <w:szCs w:val="32"/>
        </w:rPr>
        <w:t>年版）</w:t>
      </w:r>
    </w:p>
    <w:p w14:paraId="5DF0BC6F">
      <w:pPr>
        <w:adjustRightInd w:val="0"/>
        <w:snapToGrid w:val="0"/>
        <w:spacing w:line="594" w:lineRule="exact"/>
        <w:jc w:val="center"/>
        <w:rPr>
          <w:rFonts w:eastAsia="方正小标宋简体" w:cs="方正仿宋简体"/>
          <w:color w:val="000000"/>
          <w:sz w:val="32"/>
          <w:szCs w:val="32"/>
        </w:rPr>
      </w:pPr>
    </w:p>
    <w:p w14:paraId="7779DB0B">
      <w:pPr>
        <w:adjustRightInd w:val="0"/>
        <w:snapToGrid w:val="0"/>
        <w:spacing w:line="440" w:lineRule="exact"/>
        <w:outlineLvl w:val="1"/>
        <w:rPr>
          <w:rFonts w:eastAsia="黑体" w:cs="黑体"/>
          <w:szCs w:val="21"/>
        </w:rPr>
      </w:pPr>
      <w:r>
        <w:rPr>
          <w:rFonts w:hint="eastAsia" w:eastAsia="黑体" w:cs="黑体"/>
          <w:szCs w:val="21"/>
        </w:rPr>
        <w:t>1 抽样方法</w:t>
      </w:r>
    </w:p>
    <w:p w14:paraId="18D52458">
      <w:pPr>
        <w:adjustRightInd w:val="0"/>
        <w:snapToGrid w:val="0"/>
        <w:spacing w:line="360" w:lineRule="auto"/>
        <w:ind w:firstLine="420" w:firstLineChars="200"/>
        <w:rPr>
          <w:szCs w:val="21"/>
        </w:rPr>
      </w:pPr>
      <w:r>
        <w:rPr>
          <w:rFonts w:hint="eastAsia"/>
          <w:szCs w:val="21"/>
        </w:rPr>
        <w:t>以随机抽样的方式在被抽样生产者、销售者的待销产品中抽取。</w:t>
      </w:r>
    </w:p>
    <w:p w14:paraId="43DFF473">
      <w:pPr>
        <w:adjustRightInd w:val="0"/>
        <w:snapToGrid w:val="0"/>
        <w:spacing w:line="360" w:lineRule="auto"/>
        <w:ind w:firstLine="420" w:firstLineChars="200"/>
        <w:outlineLvl w:val="1"/>
        <w:rPr>
          <w:szCs w:val="21"/>
        </w:rPr>
      </w:pPr>
      <w:r>
        <w:rPr>
          <w:rFonts w:hint="eastAsia"/>
          <w:szCs w:val="21"/>
        </w:rPr>
        <w:t>随机数一般可使用随机数表等方法产生。</w:t>
      </w:r>
    </w:p>
    <w:p w14:paraId="01B1A743">
      <w:pPr>
        <w:snapToGrid w:val="0"/>
        <w:spacing w:line="360" w:lineRule="auto"/>
        <w:ind w:firstLine="420" w:firstLineChars="200"/>
        <w:rPr>
          <w:szCs w:val="21"/>
        </w:rPr>
      </w:pPr>
      <w:r>
        <w:rPr>
          <w:szCs w:val="21"/>
        </w:rPr>
        <w:t>每批次产品抽取不少于3份最小销售独立包装，每份样品抽样数量不少于</w:t>
      </w:r>
      <w:r>
        <w:rPr>
          <w:rFonts w:hint="eastAsia"/>
          <w:szCs w:val="21"/>
        </w:rPr>
        <w:t>40</w:t>
      </w:r>
      <w:r>
        <w:rPr>
          <w:szCs w:val="21"/>
        </w:rPr>
        <w:t>只</w:t>
      </w:r>
      <w:r>
        <w:rPr>
          <w:rFonts w:hint="eastAsia"/>
          <w:szCs w:val="21"/>
        </w:rPr>
        <w:t>/</w:t>
      </w:r>
      <w:r>
        <w:rPr>
          <w:szCs w:val="21"/>
        </w:rPr>
        <w:t>个，其中2份作为检验样品，1份作为备用样品。每份样品质量应不少于100g且与食品接触面的最小表面积应不小于10dm</w:t>
      </w:r>
      <w:r>
        <w:rPr>
          <w:szCs w:val="21"/>
          <w:vertAlign w:val="superscript"/>
        </w:rPr>
        <w:t>2</w:t>
      </w:r>
      <w:r>
        <w:rPr>
          <w:szCs w:val="21"/>
        </w:rPr>
        <w:t>（若最小销售包装不是40只</w:t>
      </w:r>
      <w:r>
        <w:rPr>
          <w:rFonts w:hint="eastAsia"/>
          <w:szCs w:val="21"/>
        </w:rPr>
        <w:t>/</w:t>
      </w:r>
      <w:r>
        <w:rPr>
          <w:szCs w:val="21"/>
        </w:rPr>
        <w:t>个的整数倍，需按采样数折算，保证检样不少于80只</w:t>
      </w:r>
      <w:r>
        <w:rPr>
          <w:rFonts w:hint="eastAsia"/>
          <w:szCs w:val="21"/>
        </w:rPr>
        <w:t>/</w:t>
      </w:r>
      <w:r>
        <w:rPr>
          <w:szCs w:val="21"/>
        </w:rPr>
        <w:t>个，备样不少于40只</w:t>
      </w:r>
      <w:r>
        <w:rPr>
          <w:rFonts w:hint="eastAsia"/>
          <w:szCs w:val="21"/>
        </w:rPr>
        <w:t>/</w:t>
      </w:r>
      <w:r>
        <w:rPr>
          <w:szCs w:val="21"/>
        </w:rPr>
        <w:t>个，避免损坏原包装）</w:t>
      </w:r>
      <w:r>
        <w:rPr>
          <w:rFonts w:hint="eastAsia"/>
          <w:szCs w:val="21"/>
        </w:rPr>
        <w:t>。</w:t>
      </w:r>
    </w:p>
    <w:p w14:paraId="1BAEB563">
      <w:pPr>
        <w:snapToGrid w:val="0"/>
        <w:spacing w:line="360" w:lineRule="auto"/>
        <w:ind w:firstLine="420" w:firstLineChars="200"/>
        <w:rPr>
          <w:szCs w:val="21"/>
        </w:rPr>
      </w:pPr>
    </w:p>
    <w:p w14:paraId="176A73C2">
      <w:pPr>
        <w:adjustRightInd w:val="0"/>
        <w:snapToGrid w:val="0"/>
        <w:spacing w:line="440" w:lineRule="exact"/>
        <w:outlineLvl w:val="1"/>
        <w:rPr>
          <w:rFonts w:eastAsia="黑体" w:cs="黑体"/>
          <w:szCs w:val="21"/>
        </w:rPr>
      </w:pPr>
      <w:r>
        <w:rPr>
          <w:rFonts w:hint="eastAsia" w:eastAsia="黑体" w:cs="黑体"/>
          <w:szCs w:val="21"/>
        </w:rPr>
        <w:t>2 检验依据</w:t>
      </w:r>
    </w:p>
    <w:p w14:paraId="69E798B7">
      <w:pPr>
        <w:adjustRightInd w:val="0"/>
        <w:snapToGrid w:val="0"/>
        <w:jc w:val="center"/>
        <w:rPr>
          <w:rFonts w:cs="宋体"/>
          <w:szCs w:val="21"/>
        </w:rPr>
      </w:pP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3"/>
        <w:gridCol w:w="4315"/>
        <w:gridCol w:w="4106"/>
      </w:tblGrid>
      <w:tr w14:paraId="7DF47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410" w:type="pct"/>
            <w:vAlign w:val="center"/>
          </w:tcPr>
          <w:p w14:paraId="74DAA102">
            <w:pPr>
              <w:snapToGrid w:val="0"/>
              <w:spacing w:line="440" w:lineRule="exact"/>
              <w:jc w:val="center"/>
              <w:rPr>
                <w:color w:val="000000"/>
                <w:szCs w:val="21"/>
              </w:rPr>
            </w:pPr>
            <w:bookmarkStart w:id="1" w:name="_Hlk40347690"/>
            <w:r>
              <w:rPr>
                <w:rFonts w:hint="eastAsia"/>
                <w:color w:val="000000"/>
                <w:szCs w:val="21"/>
              </w:rPr>
              <w:t>序号</w:t>
            </w:r>
          </w:p>
        </w:tc>
        <w:tc>
          <w:tcPr>
            <w:tcW w:w="2351" w:type="pct"/>
            <w:vAlign w:val="center"/>
          </w:tcPr>
          <w:p w14:paraId="025FC596">
            <w:pPr>
              <w:snapToGrid w:val="0"/>
              <w:spacing w:line="440" w:lineRule="exact"/>
              <w:jc w:val="center"/>
              <w:rPr>
                <w:color w:val="000000"/>
                <w:szCs w:val="21"/>
              </w:rPr>
            </w:pPr>
            <w:r>
              <w:rPr>
                <w:rFonts w:hint="eastAsia"/>
                <w:color w:val="000000"/>
                <w:szCs w:val="21"/>
              </w:rPr>
              <w:t>检验项目</w:t>
            </w:r>
          </w:p>
        </w:tc>
        <w:tc>
          <w:tcPr>
            <w:tcW w:w="2237" w:type="pct"/>
            <w:vAlign w:val="center"/>
          </w:tcPr>
          <w:p w14:paraId="3DBFB0F5">
            <w:pPr>
              <w:snapToGrid w:val="0"/>
              <w:spacing w:line="440" w:lineRule="exact"/>
              <w:jc w:val="center"/>
              <w:rPr>
                <w:color w:val="000000"/>
                <w:szCs w:val="21"/>
              </w:rPr>
            </w:pPr>
            <w:r>
              <w:rPr>
                <w:rFonts w:hint="eastAsia"/>
                <w:color w:val="000000"/>
                <w:szCs w:val="21"/>
              </w:rPr>
              <w:t>检验方法</w:t>
            </w:r>
          </w:p>
        </w:tc>
      </w:tr>
      <w:tr w14:paraId="58564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0" w:type="pct"/>
            <w:vAlign w:val="center"/>
          </w:tcPr>
          <w:p w14:paraId="25D4E91A">
            <w:pPr>
              <w:numPr>
                <w:ilvl w:val="0"/>
                <w:numId w:val="1"/>
              </w:numPr>
              <w:adjustRightInd w:val="0"/>
              <w:snapToGrid w:val="0"/>
              <w:jc w:val="center"/>
              <w:rPr>
                <w:rFonts w:cs="宋体"/>
                <w:szCs w:val="21"/>
              </w:rPr>
            </w:pPr>
          </w:p>
        </w:tc>
        <w:tc>
          <w:tcPr>
            <w:tcW w:w="2351" w:type="pct"/>
            <w:vAlign w:val="center"/>
          </w:tcPr>
          <w:p w14:paraId="73FF59A4">
            <w:pPr>
              <w:adjustRightInd w:val="0"/>
              <w:snapToGrid w:val="0"/>
              <w:jc w:val="center"/>
              <w:rPr>
                <w:rFonts w:hint="eastAsia" w:cs="宋体"/>
                <w:szCs w:val="21"/>
                <w:lang w:val="en-US" w:eastAsia="zh-CN"/>
              </w:rPr>
            </w:pPr>
            <w:r>
              <w:rPr>
                <w:rFonts w:hint="eastAsia" w:cs="宋体"/>
                <w:szCs w:val="21"/>
                <w:lang w:val="en-US" w:eastAsia="zh-CN"/>
              </w:rPr>
              <w:t>感官要求</w:t>
            </w:r>
          </w:p>
        </w:tc>
        <w:tc>
          <w:tcPr>
            <w:tcW w:w="2237" w:type="pct"/>
            <w:vAlign w:val="center"/>
          </w:tcPr>
          <w:p w14:paraId="6D9716E5">
            <w:pPr>
              <w:adjustRightInd w:val="0"/>
              <w:snapToGrid w:val="0"/>
              <w:jc w:val="center"/>
              <w:rPr>
                <w:szCs w:val="21"/>
              </w:rPr>
            </w:pPr>
            <w:bookmarkStart w:id="2" w:name="_GoBack"/>
            <w:bookmarkEnd w:id="2"/>
            <w:r>
              <w:rPr>
                <w:rFonts w:hint="eastAsia" w:cs="宋体"/>
                <w:szCs w:val="21"/>
              </w:rPr>
              <w:t>GB 4806.7</w:t>
            </w:r>
            <w:r>
              <w:rPr>
                <w:szCs w:val="21"/>
              </w:rPr>
              <w:t>—</w:t>
            </w:r>
            <w:r>
              <w:rPr>
                <w:rFonts w:hint="eastAsia" w:cs="宋体"/>
                <w:szCs w:val="21"/>
              </w:rPr>
              <w:t>2023</w:t>
            </w:r>
          </w:p>
        </w:tc>
      </w:tr>
      <w:tr w14:paraId="7781D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0" w:type="pct"/>
            <w:vAlign w:val="center"/>
          </w:tcPr>
          <w:p w14:paraId="01A98D72">
            <w:pPr>
              <w:numPr>
                <w:ilvl w:val="0"/>
                <w:numId w:val="1"/>
              </w:numPr>
              <w:adjustRightInd w:val="0"/>
              <w:snapToGrid w:val="0"/>
              <w:jc w:val="center"/>
              <w:rPr>
                <w:rFonts w:cs="宋体"/>
                <w:szCs w:val="21"/>
              </w:rPr>
            </w:pPr>
          </w:p>
        </w:tc>
        <w:tc>
          <w:tcPr>
            <w:tcW w:w="2351" w:type="pct"/>
            <w:vAlign w:val="center"/>
          </w:tcPr>
          <w:p w14:paraId="60A40350">
            <w:pPr>
              <w:adjustRightInd w:val="0"/>
              <w:snapToGrid w:val="0"/>
              <w:jc w:val="center"/>
              <w:rPr>
                <w:rFonts w:hint="eastAsia" w:cs="宋体"/>
                <w:szCs w:val="21"/>
                <w:lang w:val="en-US" w:eastAsia="zh-CN"/>
              </w:rPr>
            </w:pPr>
            <w:r>
              <w:rPr>
                <w:rFonts w:hint="eastAsia" w:cs="宋体"/>
                <w:szCs w:val="21"/>
                <w:lang w:val="en-US" w:eastAsia="zh-CN"/>
              </w:rPr>
              <w:t>总迁移量</w:t>
            </w:r>
          </w:p>
        </w:tc>
        <w:tc>
          <w:tcPr>
            <w:tcW w:w="2237" w:type="pct"/>
            <w:vAlign w:val="center"/>
          </w:tcPr>
          <w:p w14:paraId="5A29251E">
            <w:pPr>
              <w:adjustRightInd w:val="0"/>
              <w:snapToGrid w:val="0"/>
              <w:jc w:val="center"/>
              <w:rPr>
                <w:szCs w:val="21"/>
              </w:rPr>
            </w:pPr>
            <w:r>
              <w:rPr>
                <w:rFonts w:hint="eastAsia" w:cs="宋体"/>
                <w:szCs w:val="21"/>
              </w:rPr>
              <w:t>GB 31604.8</w:t>
            </w:r>
            <w:r>
              <w:rPr>
                <w:szCs w:val="21"/>
              </w:rPr>
              <w:t>—</w:t>
            </w:r>
            <w:r>
              <w:rPr>
                <w:rFonts w:hint="eastAsia" w:cs="宋体"/>
                <w:szCs w:val="21"/>
              </w:rPr>
              <w:t>20</w:t>
            </w:r>
            <w:r>
              <w:rPr>
                <w:rFonts w:cs="宋体"/>
                <w:szCs w:val="21"/>
              </w:rPr>
              <w:t>21</w:t>
            </w:r>
          </w:p>
        </w:tc>
      </w:tr>
      <w:tr w14:paraId="4EAA1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0" w:type="pct"/>
            <w:vAlign w:val="center"/>
          </w:tcPr>
          <w:p w14:paraId="4BC00B54">
            <w:pPr>
              <w:numPr>
                <w:ilvl w:val="0"/>
                <w:numId w:val="1"/>
              </w:numPr>
              <w:adjustRightInd w:val="0"/>
              <w:snapToGrid w:val="0"/>
              <w:jc w:val="center"/>
              <w:rPr>
                <w:rFonts w:cs="宋体"/>
                <w:szCs w:val="21"/>
              </w:rPr>
            </w:pPr>
          </w:p>
        </w:tc>
        <w:tc>
          <w:tcPr>
            <w:tcW w:w="2351" w:type="pct"/>
            <w:vAlign w:val="center"/>
          </w:tcPr>
          <w:p w14:paraId="217F720E">
            <w:pPr>
              <w:adjustRightInd w:val="0"/>
              <w:snapToGrid w:val="0"/>
              <w:jc w:val="center"/>
              <w:rPr>
                <w:rFonts w:hint="eastAsia" w:cs="宋体"/>
                <w:szCs w:val="21"/>
                <w:lang w:val="en-US" w:eastAsia="zh-CN"/>
              </w:rPr>
            </w:pPr>
            <w:r>
              <w:rPr>
                <w:rFonts w:hint="eastAsia" w:cs="宋体"/>
                <w:szCs w:val="21"/>
                <w:lang w:val="en-US" w:eastAsia="zh-CN"/>
              </w:rPr>
              <w:t>高锰酸钾消耗量</w:t>
            </w:r>
          </w:p>
        </w:tc>
        <w:tc>
          <w:tcPr>
            <w:tcW w:w="2237" w:type="pct"/>
            <w:vAlign w:val="center"/>
          </w:tcPr>
          <w:p w14:paraId="0F65C7AE">
            <w:pPr>
              <w:adjustRightInd w:val="0"/>
              <w:snapToGrid w:val="0"/>
              <w:jc w:val="center"/>
              <w:rPr>
                <w:szCs w:val="21"/>
              </w:rPr>
            </w:pPr>
            <w:r>
              <w:rPr>
                <w:rFonts w:hint="eastAsia" w:cs="宋体"/>
                <w:szCs w:val="21"/>
              </w:rPr>
              <w:t>GB 31604.2</w:t>
            </w:r>
            <w:r>
              <w:rPr>
                <w:szCs w:val="21"/>
              </w:rPr>
              <w:t>—</w:t>
            </w:r>
            <w:r>
              <w:rPr>
                <w:rFonts w:hint="eastAsia" w:cs="宋体"/>
                <w:szCs w:val="21"/>
              </w:rPr>
              <w:t xml:space="preserve">2016 </w:t>
            </w:r>
          </w:p>
        </w:tc>
      </w:tr>
      <w:tr w14:paraId="42282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0" w:type="pct"/>
            <w:vAlign w:val="center"/>
          </w:tcPr>
          <w:p w14:paraId="6F5848E1">
            <w:pPr>
              <w:numPr>
                <w:ilvl w:val="0"/>
                <w:numId w:val="1"/>
              </w:numPr>
              <w:adjustRightInd w:val="0"/>
              <w:snapToGrid w:val="0"/>
              <w:jc w:val="center"/>
              <w:rPr>
                <w:rFonts w:cs="宋体"/>
                <w:szCs w:val="21"/>
              </w:rPr>
            </w:pPr>
          </w:p>
        </w:tc>
        <w:tc>
          <w:tcPr>
            <w:tcW w:w="2351" w:type="pct"/>
            <w:vAlign w:val="center"/>
          </w:tcPr>
          <w:p w14:paraId="28F0DDB2">
            <w:pPr>
              <w:adjustRightInd w:val="0"/>
              <w:snapToGrid w:val="0"/>
              <w:jc w:val="center"/>
              <w:rPr>
                <w:rFonts w:hint="eastAsia" w:cs="宋体"/>
                <w:szCs w:val="21"/>
                <w:lang w:val="en-US" w:eastAsia="zh-CN"/>
              </w:rPr>
            </w:pPr>
            <w:r>
              <w:rPr>
                <w:rFonts w:hint="eastAsia" w:cs="宋体"/>
                <w:szCs w:val="21"/>
                <w:lang w:val="en-US" w:eastAsia="zh-CN"/>
              </w:rPr>
              <w:t>重金属（以Pb计）</w:t>
            </w:r>
          </w:p>
        </w:tc>
        <w:tc>
          <w:tcPr>
            <w:tcW w:w="2237" w:type="pct"/>
            <w:vAlign w:val="center"/>
          </w:tcPr>
          <w:p w14:paraId="3CCDE71E">
            <w:pPr>
              <w:adjustRightInd w:val="0"/>
              <w:snapToGrid w:val="0"/>
              <w:jc w:val="center"/>
              <w:rPr>
                <w:szCs w:val="21"/>
              </w:rPr>
            </w:pPr>
            <w:r>
              <w:rPr>
                <w:rFonts w:hint="eastAsia" w:cs="宋体"/>
                <w:szCs w:val="21"/>
              </w:rPr>
              <w:t>GB 31604.9</w:t>
            </w:r>
            <w:r>
              <w:rPr>
                <w:szCs w:val="21"/>
              </w:rPr>
              <w:t>—</w:t>
            </w:r>
            <w:r>
              <w:rPr>
                <w:rFonts w:hint="eastAsia" w:cs="宋体"/>
                <w:szCs w:val="21"/>
              </w:rPr>
              <w:t xml:space="preserve">2016 </w:t>
            </w:r>
          </w:p>
        </w:tc>
      </w:tr>
      <w:tr w14:paraId="15F04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0" w:type="pct"/>
            <w:vAlign w:val="center"/>
          </w:tcPr>
          <w:p w14:paraId="1A43434C">
            <w:pPr>
              <w:numPr>
                <w:ilvl w:val="0"/>
                <w:numId w:val="1"/>
              </w:numPr>
              <w:adjustRightInd w:val="0"/>
              <w:snapToGrid w:val="0"/>
              <w:jc w:val="center"/>
              <w:rPr>
                <w:rFonts w:cs="宋体"/>
                <w:szCs w:val="21"/>
              </w:rPr>
            </w:pPr>
          </w:p>
        </w:tc>
        <w:tc>
          <w:tcPr>
            <w:tcW w:w="2351" w:type="pct"/>
            <w:vAlign w:val="center"/>
          </w:tcPr>
          <w:p w14:paraId="2179750E">
            <w:pPr>
              <w:adjustRightInd w:val="0"/>
              <w:snapToGrid w:val="0"/>
              <w:jc w:val="center"/>
              <w:rPr>
                <w:rFonts w:hint="eastAsia" w:cs="宋体"/>
                <w:szCs w:val="21"/>
                <w:lang w:val="en-US" w:eastAsia="zh-CN"/>
              </w:rPr>
            </w:pPr>
            <w:r>
              <w:rPr>
                <w:rFonts w:hint="eastAsia" w:cs="宋体"/>
                <w:szCs w:val="21"/>
                <w:lang w:val="en-US" w:eastAsia="zh-CN"/>
              </w:rPr>
              <w:t>脱色试验</w:t>
            </w:r>
          </w:p>
        </w:tc>
        <w:tc>
          <w:tcPr>
            <w:tcW w:w="2237" w:type="pct"/>
            <w:vAlign w:val="center"/>
          </w:tcPr>
          <w:p w14:paraId="5268B4E3">
            <w:pPr>
              <w:adjustRightInd w:val="0"/>
              <w:snapToGrid w:val="0"/>
              <w:jc w:val="center"/>
              <w:rPr>
                <w:szCs w:val="21"/>
              </w:rPr>
            </w:pPr>
            <w:r>
              <w:rPr>
                <w:rFonts w:hint="eastAsia" w:cs="宋体"/>
                <w:szCs w:val="21"/>
              </w:rPr>
              <w:t>GB 31604.7</w:t>
            </w:r>
            <w:r>
              <w:rPr>
                <w:szCs w:val="21"/>
              </w:rPr>
              <w:t>—</w:t>
            </w:r>
            <w:r>
              <w:rPr>
                <w:rFonts w:hint="eastAsia" w:cs="宋体"/>
                <w:szCs w:val="21"/>
              </w:rPr>
              <w:t>2023</w:t>
            </w:r>
          </w:p>
        </w:tc>
      </w:tr>
      <w:tr w14:paraId="58116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0" w:type="pct"/>
            <w:vAlign w:val="center"/>
          </w:tcPr>
          <w:p w14:paraId="3DB955AC">
            <w:pPr>
              <w:numPr>
                <w:ilvl w:val="0"/>
                <w:numId w:val="1"/>
              </w:numPr>
              <w:adjustRightInd w:val="0"/>
              <w:snapToGrid w:val="0"/>
              <w:jc w:val="center"/>
              <w:rPr>
                <w:rFonts w:cs="宋体"/>
                <w:szCs w:val="21"/>
              </w:rPr>
            </w:pPr>
          </w:p>
        </w:tc>
        <w:tc>
          <w:tcPr>
            <w:tcW w:w="2351" w:type="pct"/>
            <w:vAlign w:val="center"/>
          </w:tcPr>
          <w:p w14:paraId="0A1876C3">
            <w:pPr>
              <w:adjustRightInd w:val="0"/>
              <w:snapToGrid w:val="0"/>
              <w:jc w:val="center"/>
              <w:rPr>
                <w:rFonts w:hint="eastAsia" w:cs="宋体"/>
                <w:szCs w:val="21"/>
                <w:lang w:val="en-US" w:eastAsia="zh-CN"/>
              </w:rPr>
            </w:pPr>
            <w:r>
              <w:rPr>
                <w:rFonts w:hint="eastAsia" w:cs="宋体"/>
                <w:szCs w:val="21"/>
                <w:lang w:val="en-US" w:eastAsia="zh-CN"/>
              </w:rPr>
              <w:t>异嗅</w:t>
            </w:r>
          </w:p>
        </w:tc>
        <w:tc>
          <w:tcPr>
            <w:tcW w:w="2237" w:type="pct"/>
            <w:vAlign w:val="center"/>
          </w:tcPr>
          <w:p w14:paraId="39B10B76">
            <w:pPr>
              <w:adjustRightInd w:val="0"/>
              <w:snapToGrid w:val="0"/>
              <w:jc w:val="center"/>
              <w:rPr>
                <w:rFonts w:cs="宋体"/>
                <w:szCs w:val="21"/>
              </w:rPr>
            </w:pPr>
            <w:r>
              <w:rPr>
                <w:rFonts w:hint="eastAsia" w:cs="宋体"/>
                <w:szCs w:val="21"/>
              </w:rPr>
              <w:t>GB/T 18006.1-2009</w:t>
            </w:r>
          </w:p>
        </w:tc>
      </w:tr>
      <w:tr w14:paraId="0C429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0" w:type="pct"/>
            <w:vAlign w:val="center"/>
          </w:tcPr>
          <w:p w14:paraId="2FA7A96F">
            <w:pPr>
              <w:numPr>
                <w:ilvl w:val="0"/>
                <w:numId w:val="1"/>
              </w:numPr>
              <w:adjustRightInd w:val="0"/>
              <w:snapToGrid w:val="0"/>
              <w:jc w:val="center"/>
              <w:rPr>
                <w:rFonts w:cs="宋体"/>
                <w:szCs w:val="21"/>
              </w:rPr>
            </w:pPr>
          </w:p>
        </w:tc>
        <w:tc>
          <w:tcPr>
            <w:tcW w:w="2351" w:type="pct"/>
            <w:vAlign w:val="center"/>
          </w:tcPr>
          <w:p w14:paraId="4E1BC909">
            <w:pPr>
              <w:adjustRightInd w:val="0"/>
              <w:snapToGrid w:val="0"/>
              <w:jc w:val="center"/>
              <w:rPr>
                <w:rFonts w:hint="eastAsia" w:cs="宋体"/>
                <w:szCs w:val="21"/>
                <w:lang w:val="en-US" w:eastAsia="zh-CN"/>
              </w:rPr>
            </w:pPr>
            <w:r>
              <w:rPr>
                <w:rFonts w:hint="eastAsia" w:cs="宋体"/>
                <w:szCs w:val="21"/>
                <w:lang w:val="en-US" w:eastAsia="zh-CN"/>
              </w:rPr>
              <w:t>外观</w:t>
            </w:r>
          </w:p>
        </w:tc>
        <w:tc>
          <w:tcPr>
            <w:tcW w:w="2237" w:type="pct"/>
            <w:vAlign w:val="center"/>
          </w:tcPr>
          <w:p w14:paraId="5AB9280E">
            <w:pPr>
              <w:adjustRightInd w:val="0"/>
              <w:snapToGrid w:val="0"/>
              <w:jc w:val="center"/>
              <w:rPr>
                <w:szCs w:val="21"/>
              </w:rPr>
            </w:pPr>
            <w:r>
              <w:rPr>
                <w:rFonts w:hint="eastAsia"/>
              </w:rPr>
              <w:t>GB/T 18006.1-2009</w:t>
            </w:r>
          </w:p>
        </w:tc>
      </w:tr>
      <w:tr w14:paraId="2B430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0" w:type="pct"/>
            <w:vAlign w:val="center"/>
          </w:tcPr>
          <w:p w14:paraId="70A0232B">
            <w:pPr>
              <w:numPr>
                <w:ilvl w:val="0"/>
                <w:numId w:val="1"/>
              </w:numPr>
              <w:adjustRightInd w:val="0"/>
              <w:snapToGrid w:val="0"/>
              <w:jc w:val="center"/>
              <w:rPr>
                <w:rFonts w:cs="宋体"/>
                <w:szCs w:val="21"/>
              </w:rPr>
            </w:pPr>
          </w:p>
        </w:tc>
        <w:tc>
          <w:tcPr>
            <w:tcW w:w="2351" w:type="pct"/>
            <w:vAlign w:val="center"/>
          </w:tcPr>
          <w:p w14:paraId="4A721903">
            <w:pPr>
              <w:adjustRightInd w:val="0"/>
              <w:snapToGrid w:val="0"/>
              <w:jc w:val="center"/>
              <w:rPr>
                <w:rFonts w:hint="eastAsia" w:cs="宋体"/>
                <w:szCs w:val="21"/>
                <w:lang w:val="en-US" w:eastAsia="zh-CN"/>
              </w:rPr>
            </w:pPr>
            <w:r>
              <w:rPr>
                <w:rFonts w:hint="eastAsia" w:cs="宋体"/>
                <w:szCs w:val="21"/>
                <w:lang w:val="en-US" w:eastAsia="zh-CN"/>
              </w:rPr>
              <w:t>结构</w:t>
            </w:r>
          </w:p>
        </w:tc>
        <w:tc>
          <w:tcPr>
            <w:tcW w:w="2237" w:type="pct"/>
            <w:vAlign w:val="center"/>
          </w:tcPr>
          <w:p w14:paraId="4C4FC4F0">
            <w:pPr>
              <w:adjustRightInd w:val="0"/>
              <w:snapToGrid w:val="0"/>
              <w:jc w:val="center"/>
              <w:rPr>
                <w:szCs w:val="21"/>
              </w:rPr>
            </w:pPr>
            <w:r>
              <w:rPr>
                <w:rFonts w:hint="eastAsia"/>
              </w:rPr>
              <w:t>GB/T 18006.1-2009</w:t>
            </w:r>
          </w:p>
        </w:tc>
      </w:tr>
      <w:tr w14:paraId="052BF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0" w:type="pct"/>
            <w:vAlign w:val="center"/>
          </w:tcPr>
          <w:p w14:paraId="45278F16">
            <w:pPr>
              <w:numPr>
                <w:ilvl w:val="0"/>
                <w:numId w:val="1"/>
              </w:numPr>
              <w:adjustRightInd w:val="0"/>
              <w:snapToGrid w:val="0"/>
              <w:jc w:val="center"/>
              <w:rPr>
                <w:rFonts w:cs="宋体"/>
                <w:szCs w:val="21"/>
              </w:rPr>
            </w:pPr>
          </w:p>
        </w:tc>
        <w:tc>
          <w:tcPr>
            <w:tcW w:w="2351" w:type="pct"/>
            <w:vAlign w:val="center"/>
          </w:tcPr>
          <w:p w14:paraId="19A91443">
            <w:pPr>
              <w:adjustRightInd w:val="0"/>
              <w:snapToGrid w:val="0"/>
              <w:jc w:val="center"/>
              <w:rPr>
                <w:rFonts w:hint="default" w:cs="宋体"/>
                <w:szCs w:val="21"/>
                <w:lang w:val="en-US" w:eastAsia="zh-CN"/>
              </w:rPr>
            </w:pPr>
            <w:r>
              <w:rPr>
                <w:rFonts w:hint="eastAsia" w:cs="宋体"/>
                <w:szCs w:val="21"/>
                <w:lang w:val="en-US" w:eastAsia="zh-CN"/>
              </w:rPr>
              <w:t>负重性能</w:t>
            </w:r>
          </w:p>
        </w:tc>
        <w:tc>
          <w:tcPr>
            <w:tcW w:w="2237" w:type="pct"/>
            <w:vAlign w:val="center"/>
          </w:tcPr>
          <w:p w14:paraId="1C410365">
            <w:pPr>
              <w:adjustRightInd w:val="0"/>
              <w:snapToGrid w:val="0"/>
              <w:jc w:val="center"/>
              <w:rPr>
                <w:szCs w:val="21"/>
              </w:rPr>
            </w:pPr>
            <w:r>
              <w:rPr>
                <w:rFonts w:hint="eastAsia"/>
              </w:rPr>
              <w:t>GB/T 18006.1-2009</w:t>
            </w:r>
          </w:p>
        </w:tc>
      </w:tr>
      <w:tr w14:paraId="3267A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0" w:type="pct"/>
            <w:vAlign w:val="center"/>
          </w:tcPr>
          <w:p w14:paraId="028C6CE8">
            <w:pPr>
              <w:numPr>
                <w:ilvl w:val="0"/>
                <w:numId w:val="1"/>
              </w:numPr>
              <w:adjustRightInd w:val="0"/>
              <w:snapToGrid w:val="0"/>
              <w:jc w:val="center"/>
              <w:rPr>
                <w:rFonts w:cs="宋体"/>
                <w:szCs w:val="21"/>
              </w:rPr>
            </w:pPr>
          </w:p>
        </w:tc>
        <w:tc>
          <w:tcPr>
            <w:tcW w:w="2351" w:type="pct"/>
            <w:vAlign w:val="center"/>
          </w:tcPr>
          <w:p w14:paraId="603ABB9F">
            <w:pPr>
              <w:adjustRightInd w:val="0"/>
              <w:snapToGrid w:val="0"/>
              <w:jc w:val="center"/>
              <w:rPr>
                <w:rFonts w:hint="eastAsia" w:eastAsia="宋体" w:cs="宋体"/>
                <w:szCs w:val="21"/>
                <w:lang w:val="en-US" w:eastAsia="zh-CN"/>
              </w:rPr>
            </w:pPr>
            <w:r>
              <w:rPr>
                <w:rFonts w:hint="eastAsia" w:cs="宋体"/>
                <w:szCs w:val="21"/>
                <w:lang w:val="en-US" w:eastAsia="zh-CN"/>
              </w:rPr>
              <w:t>跌落性能</w:t>
            </w:r>
          </w:p>
        </w:tc>
        <w:tc>
          <w:tcPr>
            <w:tcW w:w="2237" w:type="pct"/>
            <w:vAlign w:val="center"/>
          </w:tcPr>
          <w:p w14:paraId="5D416FB7">
            <w:pPr>
              <w:adjustRightInd w:val="0"/>
              <w:snapToGrid w:val="0"/>
              <w:jc w:val="center"/>
              <w:rPr>
                <w:rFonts w:cs="宋体"/>
                <w:szCs w:val="21"/>
              </w:rPr>
            </w:pPr>
            <w:r>
              <w:rPr>
                <w:rFonts w:hint="eastAsia"/>
              </w:rPr>
              <w:t>GB/T 18006.1-2009</w:t>
            </w:r>
          </w:p>
        </w:tc>
      </w:tr>
      <w:tr w14:paraId="0F103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0" w:type="pct"/>
            <w:vAlign w:val="center"/>
          </w:tcPr>
          <w:p w14:paraId="4E3D7042">
            <w:pPr>
              <w:numPr>
                <w:ilvl w:val="0"/>
                <w:numId w:val="1"/>
              </w:numPr>
              <w:adjustRightInd w:val="0"/>
              <w:snapToGrid w:val="0"/>
              <w:jc w:val="center"/>
              <w:rPr>
                <w:rFonts w:cs="宋体"/>
                <w:szCs w:val="21"/>
              </w:rPr>
            </w:pPr>
          </w:p>
        </w:tc>
        <w:tc>
          <w:tcPr>
            <w:tcW w:w="2351" w:type="pct"/>
            <w:vAlign w:val="center"/>
          </w:tcPr>
          <w:p w14:paraId="26087709">
            <w:pPr>
              <w:adjustRightInd w:val="0"/>
              <w:snapToGrid w:val="0"/>
              <w:jc w:val="center"/>
              <w:rPr>
                <w:rFonts w:hint="default" w:eastAsia="宋体" w:cs="宋体"/>
                <w:szCs w:val="21"/>
                <w:lang w:val="en-US" w:eastAsia="zh-CN"/>
              </w:rPr>
            </w:pPr>
            <w:r>
              <w:rPr>
                <w:rFonts w:hint="eastAsia" w:cs="宋体"/>
                <w:szCs w:val="21"/>
                <w:lang w:val="en-US" w:eastAsia="zh-CN"/>
              </w:rPr>
              <w:t>盖体对折性能</w:t>
            </w:r>
          </w:p>
        </w:tc>
        <w:tc>
          <w:tcPr>
            <w:tcW w:w="2237" w:type="pct"/>
            <w:vAlign w:val="center"/>
          </w:tcPr>
          <w:p w14:paraId="6B49F385">
            <w:pPr>
              <w:adjustRightInd w:val="0"/>
              <w:snapToGrid w:val="0"/>
              <w:jc w:val="center"/>
              <w:rPr>
                <w:rFonts w:cs="宋体"/>
                <w:szCs w:val="21"/>
              </w:rPr>
            </w:pPr>
            <w:r>
              <w:rPr>
                <w:rFonts w:hint="eastAsia"/>
              </w:rPr>
              <w:t>GB/T 18006.1-2009</w:t>
            </w:r>
          </w:p>
        </w:tc>
      </w:tr>
      <w:tr w14:paraId="0A794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0" w:type="pct"/>
            <w:vAlign w:val="center"/>
          </w:tcPr>
          <w:p w14:paraId="7B4C87C9">
            <w:pPr>
              <w:numPr>
                <w:ilvl w:val="0"/>
                <w:numId w:val="1"/>
              </w:numPr>
              <w:adjustRightInd w:val="0"/>
              <w:snapToGrid w:val="0"/>
              <w:jc w:val="center"/>
              <w:rPr>
                <w:rFonts w:cs="宋体"/>
                <w:szCs w:val="21"/>
              </w:rPr>
            </w:pPr>
          </w:p>
        </w:tc>
        <w:tc>
          <w:tcPr>
            <w:tcW w:w="2351" w:type="pct"/>
            <w:vAlign w:val="center"/>
          </w:tcPr>
          <w:p w14:paraId="420220DB">
            <w:pPr>
              <w:adjustRightInd w:val="0"/>
              <w:snapToGrid w:val="0"/>
              <w:jc w:val="center"/>
              <w:rPr>
                <w:rFonts w:hint="default" w:eastAsia="宋体" w:cs="宋体"/>
                <w:szCs w:val="21"/>
                <w:lang w:val="en-US" w:eastAsia="zh-CN"/>
              </w:rPr>
            </w:pPr>
            <w:r>
              <w:rPr>
                <w:rFonts w:hint="eastAsia" w:cs="宋体"/>
                <w:szCs w:val="21"/>
                <w:lang w:val="en-US" w:eastAsia="zh-CN"/>
              </w:rPr>
              <w:t>耐温性能</w:t>
            </w:r>
          </w:p>
        </w:tc>
        <w:tc>
          <w:tcPr>
            <w:tcW w:w="2237" w:type="pct"/>
            <w:vAlign w:val="center"/>
          </w:tcPr>
          <w:p w14:paraId="07DED40A">
            <w:pPr>
              <w:adjustRightInd w:val="0"/>
              <w:snapToGrid w:val="0"/>
              <w:jc w:val="center"/>
              <w:rPr>
                <w:rFonts w:cs="宋体"/>
                <w:szCs w:val="21"/>
              </w:rPr>
            </w:pPr>
            <w:r>
              <w:rPr>
                <w:rFonts w:hint="eastAsia"/>
              </w:rPr>
              <w:t>GB/T 18006.1-2009</w:t>
            </w:r>
          </w:p>
        </w:tc>
      </w:tr>
      <w:tr w14:paraId="78B63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0" w:type="pct"/>
            <w:vAlign w:val="center"/>
          </w:tcPr>
          <w:p w14:paraId="68C52D83">
            <w:pPr>
              <w:numPr>
                <w:ilvl w:val="0"/>
                <w:numId w:val="1"/>
              </w:numPr>
              <w:adjustRightInd w:val="0"/>
              <w:snapToGrid w:val="0"/>
              <w:jc w:val="center"/>
              <w:rPr>
                <w:rFonts w:cs="仿宋"/>
                <w:szCs w:val="21"/>
              </w:rPr>
            </w:pPr>
          </w:p>
        </w:tc>
        <w:tc>
          <w:tcPr>
            <w:tcW w:w="2351" w:type="pct"/>
            <w:vAlign w:val="center"/>
          </w:tcPr>
          <w:p w14:paraId="6F6FEB34">
            <w:pPr>
              <w:adjustRightInd w:val="0"/>
              <w:snapToGrid w:val="0"/>
              <w:jc w:val="center"/>
              <w:rPr>
                <w:rFonts w:hint="eastAsia" w:eastAsia="宋体" w:cs="宋体"/>
                <w:szCs w:val="21"/>
                <w:lang w:val="en-US" w:eastAsia="zh-CN"/>
              </w:rPr>
            </w:pPr>
            <w:r>
              <w:rPr>
                <w:rFonts w:hint="eastAsia" w:cs="宋体"/>
                <w:szCs w:val="21"/>
                <w:lang w:val="en-US" w:eastAsia="zh-CN"/>
              </w:rPr>
              <w:t>漏水性</w:t>
            </w:r>
          </w:p>
        </w:tc>
        <w:tc>
          <w:tcPr>
            <w:tcW w:w="2237" w:type="pct"/>
            <w:vAlign w:val="center"/>
          </w:tcPr>
          <w:p w14:paraId="6965929B">
            <w:pPr>
              <w:adjustRightInd w:val="0"/>
              <w:snapToGrid w:val="0"/>
              <w:jc w:val="center"/>
              <w:rPr>
                <w:szCs w:val="21"/>
              </w:rPr>
            </w:pPr>
            <w:r>
              <w:rPr>
                <w:rFonts w:hint="eastAsia"/>
              </w:rPr>
              <w:t>GB/T 18006.1-2009</w:t>
            </w:r>
          </w:p>
        </w:tc>
      </w:tr>
    </w:tbl>
    <w:p w14:paraId="0D1945E0">
      <w:pPr>
        <w:adjustRightInd w:val="0"/>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bookmarkEnd w:id="1"/>
    <w:p w14:paraId="1D9A4B97">
      <w:pPr>
        <w:snapToGrid w:val="0"/>
        <w:spacing w:line="440" w:lineRule="exact"/>
        <w:ind w:firstLine="359" w:firstLineChars="171"/>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14:paraId="43528F96">
      <w:pPr>
        <w:snapToGrid w:val="0"/>
        <w:spacing w:line="440" w:lineRule="exact"/>
        <w:ind w:firstLine="359" w:firstLineChars="171"/>
        <w:rPr>
          <w:rFonts w:eastAsia="黑体" w:cs="黑体"/>
          <w:szCs w:val="21"/>
        </w:rPr>
      </w:pPr>
    </w:p>
    <w:p w14:paraId="515B3C04">
      <w:pPr>
        <w:adjustRightInd w:val="0"/>
        <w:snapToGrid w:val="0"/>
        <w:spacing w:line="440" w:lineRule="exact"/>
        <w:outlineLvl w:val="1"/>
        <w:rPr>
          <w:rFonts w:eastAsia="黑体" w:cs="黑体"/>
          <w:szCs w:val="21"/>
        </w:rPr>
      </w:pPr>
      <w:r>
        <w:rPr>
          <w:rFonts w:hint="eastAsia" w:eastAsia="黑体" w:cs="黑体"/>
          <w:szCs w:val="21"/>
        </w:rPr>
        <w:t>3 判定规则</w:t>
      </w:r>
    </w:p>
    <w:p w14:paraId="341A4D14">
      <w:pPr>
        <w:adjustRightInd w:val="0"/>
        <w:snapToGrid w:val="0"/>
        <w:spacing w:line="440" w:lineRule="exact"/>
        <w:rPr>
          <w:color w:val="000000"/>
          <w:szCs w:val="21"/>
        </w:rPr>
      </w:pPr>
      <w:r>
        <w:rPr>
          <w:rFonts w:hint="eastAsia"/>
          <w:color w:val="000000"/>
          <w:szCs w:val="21"/>
        </w:rPr>
        <w:t>3.1依据标准</w:t>
      </w:r>
    </w:p>
    <w:p w14:paraId="69CDB572">
      <w:pPr>
        <w:adjustRightInd w:val="0"/>
        <w:snapToGrid w:val="0"/>
        <w:spacing w:line="440" w:lineRule="exact"/>
        <w:ind w:firstLine="420" w:firstLineChars="200"/>
        <w:rPr>
          <w:rFonts w:cs="宋体"/>
          <w:szCs w:val="21"/>
        </w:rPr>
      </w:pPr>
      <w:r>
        <w:rPr>
          <w:rFonts w:hint="eastAsia" w:cs="宋体"/>
          <w:szCs w:val="21"/>
        </w:rPr>
        <w:t>GB 4806.7—2023 食品安全国家标准 食品接触用塑料材料及制品</w:t>
      </w:r>
    </w:p>
    <w:p w14:paraId="35FD9332">
      <w:pPr>
        <w:adjustRightInd w:val="0"/>
        <w:snapToGrid w:val="0"/>
        <w:spacing w:line="440" w:lineRule="exact"/>
        <w:ind w:firstLine="420" w:firstLineChars="200"/>
        <w:rPr>
          <w:rFonts w:cs="宋体"/>
          <w:szCs w:val="21"/>
        </w:rPr>
      </w:pPr>
      <w:r>
        <w:fldChar w:fldCharType="begin"/>
      </w:r>
      <w:r>
        <w:instrText xml:space="preserve"> HYPERLINK "http://www.bzsb.info/javascript:void(0);" </w:instrText>
      </w:r>
      <w:r>
        <w:fldChar w:fldCharType="separate"/>
      </w:r>
      <w:r>
        <w:rPr>
          <w:rFonts w:hint="eastAsia" w:cs="宋体"/>
          <w:szCs w:val="21"/>
        </w:rPr>
        <w:t>GB/T 18006.1</w:t>
      </w:r>
      <w:r>
        <w:rPr>
          <w:szCs w:val="21"/>
        </w:rPr>
        <w:t>—</w:t>
      </w:r>
      <w:r>
        <w:rPr>
          <w:rFonts w:hint="eastAsia" w:cs="宋体"/>
          <w:szCs w:val="21"/>
        </w:rPr>
        <w:t>2009</w:t>
      </w:r>
      <w:r>
        <w:rPr>
          <w:rFonts w:hint="eastAsia" w:cs="宋体"/>
          <w:szCs w:val="21"/>
        </w:rPr>
        <w:fldChar w:fldCharType="end"/>
      </w:r>
      <w:r>
        <w:rPr>
          <w:rFonts w:hint="eastAsia"/>
        </w:rPr>
        <w:t xml:space="preserve"> </w:t>
      </w:r>
      <w:r>
        <w:rPr>
          <w:rFonts w:hint="eastAsia" w:cs="宋体"/>
          <w:szCs w:val="21"/>
        </w:rPr>
        <w:t>塑料一次性餐饮具通用技术要求</w:t>
      </w:r>
    </w:p>
    <w:p w14:paraId="5C04A4C7">
      <w:pPr>
        <w:adjustRightInd w:val="0"/>
        <w:snapToGrid w:val="0"/>
        <w:spacing w:line="440" w:lineRule="exact"/>
        <w:ind w:firstLine="420" w:firstLineChars="200"/>
        <w:rPr>
          <w:rFonts w:cs="宋体"/>
          <w:szCs w:val="21"/>
        </w:rPr>
      </w:pPr>
      <w:r>
        <w:rPr>
          <w:rFonts w:hint="eastAsia" w:cs="宋体"/>
          <w:szCs w:val="21"/>
        </w:rPr>
        <w:t>现行有效的企业标准、团体标准、地方标准及产品明示质量要求</w:t>
      </w:r>
    </w:p>
    <w:p w14:paraId="3932484D">
      <w:pPr>
        <w:adjustRightInd w:val="0"/>
        <w:snapToGrid w:val="0"/>
        <w:spacing w:line="440" w:lineRule="exact"/>
        <w:rPr>
          <w:color w:val="000000"/>
          <w:szCs w:val="21"/>
        </w:rPr>
      </w:pPr>
      <w:r>
        <w:rPr>
          <w:rFonts w:hint="eastAsia"/>
          <w:color w:val="000000"/>
          <w:szCs w:val="21"/>
        </w:rPr>
        <w:t>3.2判定原则</w:t>
      </w:r>
    </w:p>
    <w:p w14:paraId="590C7BED">
      <w:pPr>
        <w:adjustRightInd w:val="0"/>
        <w:snapToGrid w:val="0"/>
        <w:spacing w:line="440" w:lineRule="exact"/>
        <w:ind w:firstLine="420" w:firstLineChars="200"/>
        <w:rPr>
          <w:color w:val="000000"/>
          <w:szCs w:val="21"/>
        </w:rPr>
      </w:pPr>
      <w:r>
        <w:rPr>
          <w:rFonts w:hint="eastAsia"/>
          <w:color w:val="000000"/>
          <w:szCs w:val="21"/>
        </w:rPr>
        <w:t>经检验，检验项目全部合格，</w:t>
      </w:r>
      <w:r>
        <w:rPr>
          <w:color w:val="000000"/>
          <w:szCs w:val="21"/>
        </w:rPr>
        <w:t>判定为被抽查产品</w:t>
      </w:r>
      <w:r>
        <w:rPr>
          <w:rFonts w:hint="eastAsia"/>
          <w:color w:val="000000"/>
          <w:szCs w:val="21"/>
        </w:rPr>
        <w:t>所检项目未发现不</w:t>
      </w:r>
      <w:r>
        <w:rPr>
          <w:color w:val="000000"/>
          <w:szCs w:val="21"/>
        </w:rPr>
        <w:t>合格；</w:t>
      </w:r>
      <w:r>
        <w:rPr>
          <w:rFonts w:hint="eastAsia"/>
          <w:color w:val="000000"/>
          <w:szCs w:val="21"/>
        </w:rPr>
        <w:t>检验项目中任一项或一项以上不合格，判定为被抽查产品不合格。</w:t>
      </w:r>
    </w:p>
    <w:p w14:paraId="4EFB17A7">
      <w:pPr>
        <w:adjustRightInd w:val="0"/>
        <w:snapToGrid w:val="0"/>
        <w:spacing w:line="440" w:lineRule="exact"/>
        <w:ind w:firstLine="420" w:firstLineChars="200"/>
        <w:rPr>
          <w:color w:val="000000"/>
          <w:szCs w:val="21"/>
        </w:rPr>
      </w:pPr>
      <w:r>
        <w:rPr>
          <w:rFonts w:hint="eastAsia"/>
          <w:color w:val="000000"/>
          <w:szCs w:val="21"/>
        </w:rPr>
        <w:t>若被检产品明示的质量要求高于本细则中检验项目依据的标准要求时，应按被检产品明示的质量要求判定。</w:t>
      </w:r>
    </w:p>
    <w:p w14:paraId="11C7325E">
      <w:pPr>
        <w:adjustRightInd w:val="0"/>
        <w:snapToGrid w:val="0"/>
        <w:spacing w:line="440" w:lineRule="exact"/>
        <w:ind w:firstLine="420" w:firstLineChars="200"/>
        <w:rPr>
          <w:color w:val="000000"/>
          <w:szCs w:val="21"/>
        </w:rPr>
      </w:pPr>
      <w:r>
        <w:rPr>
          <w:rFonts w:hint="eastAsia"/>
          <w:color w:val="000000"/>
          <w:szCs w:val="21"/>
        </w:rPr>
        <w:t>若被检产品明示的质量要求低于本细则中检验项目依据的强制性标准要求时，应按照强制性标准要求判定。</w:t>
      </w:r>
    </w:p>
    <w:p w14:paraId="21E40BAE">
      <w:pPr>
        <w:adjustRightInd w:val="0"/>
        <w:snapToGrid w:val="0"/>
        <w:spacing w:line="440" w:lineRule="exact"/>
        <w:ind w:firstLine="420" w:firstLineChars="200"/>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14:paraId="44A0C949">
      <w:pPr>
        <w:adjustRightInd w:val="0"/>
        <w:snapToGrid w:val="0"/>
        <w:spacing w:line="440" w:lineRule="exact"/>
        <w:ind w:firstLine="420" w:firstLineChars="200"/>
        <w:rPr>
          <w:color w:val="000000"/>
          <w:szCs w:val="21"/>
        </w:rPr>
      </w:pPr>
      <w:r>
        <w:rPr>
          <w:rFonts w:hint="eastAsia"/>
          <w:color w:val="000000"/>
          <w:szCs w:val="21"/>
        </w:rPr>
        <w:t>若被检产品明示的质量要求缺少本细则中检验项目依据的强制性标准要求时，应按照强制性标准要求判定。</w:t>
      </w:r>
    </w:p>
    <w:p w14:paraId="72EFDCEF">
      <w:pPr>
        <w:adjustRightInd w:val="0"/>
        <w:snapToGrid w:val="0"/>
        <w:spacing w:line="440" w:lineRule="exact"/>
        <w:ind w:firstLine="420" w:firstLineChars="200"/>
        <w:rPr>
          <w:color w:val="000000"/>
          <w:szCs w:val="21"/>
        </w:rPr>
      </w:pPr>
      <w:r>
        <w:rPr>
          <w:rFonts w:hint="eastAsia"/>
          <w:color w:val="000000"/>
          <w:szCs w:val="21"/>
        </w:rPr>
        <w:t>若被检产品明示的质量要求缺少本细则中检验项目依据的推荐性标准要求时，该项目不参与判定。</w:t>
      </w:r>
    </w:p>
    <w:sectPr>
      <w:headerReference r:id="rId3" w:type="default"/>
      <w:footerReference r:id="rId4" w:type="default"/>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auto"/>
    <w:pitch w:val="default"/>
    <w:sig w:usb0="00000000" w:usb1="00000000" w:usb2="00000010" w:usb3="00000000" w:csb0="00040000" w:csb1="00000000"/>
  </w:font>
  <w:font w:name="方正仿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0E3615">
    <w:pPr>
      <w:pStyle w:val="5"/>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3</w:t>
    </w:r>
    <w:r>
      <w:rPr>
        <w:sz w:val="21"/>
        <w:szCs w:val="21"/>
        <w:lang w:val="zh-CN"/>
      </w:rPr>
      <w:fldChar w:fldCharType="end"/>
    </w:r>
  </w:p>
  <w:p w14:paraId="2D3D9C32">
    <w:pPr>
      <w:pStyle w:val="5"/>
      <w:ind w:right="360"/>
    </w:pPr>
  </w:p>
  <w:p w14:paraId="5A58B07B"/>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2026DA">
    <w:pPr>
      <w:pStyle w:val="6"/>
      <w:pBdr>
        <w:bottom w:val="none" w:color="auto" w:sz="0" w:space="0"/>
      </w:pBdr>
    </w:pPr>
  </w:p>
  <w:p w14:paraId="5D72160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03EADD"/>
    <w:multiLevelType w:val="singleLevel"/>
    <w:tmpl w:val="F303EADD"/>
    <w:lvl w:ilvl="0" w:tentative="0">
      <w:start w:val="1"/>
      <w:numFmt w:val="decimal"/>
      <w:lvlText w:val="%1"/>
      <w:lvlJc w:val="center"/>
      <w:pPr>
        <w:ind w:left="279" w:hanging="137"/>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iODJhNDlmY2NjMmNjNTE4M2VhODIwMTY1NWRkZmIifQ=="/>
  </w:docVars>
  <w:rsids>
    <w:rsidRoot w:val="004E7F45"/>
    <w:rsid w:val="000223BA"/>
    <w:rsid w:val="00025E70"/>
    <w:rsid w:val="00026930"/>
    <w:rsid w:val="000600FC"/>
    <w:rsid w:val="000612B1"/>
    <w:rsid w:val="000C39EF"/>
    <w:rsid w:val="000D0B7A"/>
    <w:rsid w:val="000F504B"/>
    <w:rsid w:val="001001F2"/>
    <w:rsid w:val="00111BFA"/>
    <w:rsid w:val="00126B4B"/>
    <w:rsid w:val="0013492D"/>
    <w:rsid w:val="00190058"/>
    <w:rsid w:val="001E7D67"/>
    <w:rsid w:val="001F5300"/>
    <w:rsid w:val="00262E0C"/>
    <w:rsid w:val="00263965"/>
    <w:rsid w:val="002917F2"/>
    <w:rsid w:val="002961CD"/>
    <w:rsid w:val="002D2966"/>
    <w:rsid w:val="002E746B"/>
    <w:rsid w:val="0033027F"/>
    <w:rsid w:val="00331A97"/>
    <w:rsid w:val="00345C28"/>
    <w:rsid w:val="00391B32"/>
    <w:rsid w:val="003D5388"/>
    <w:rsid w:val="003F7705"/>
    <w:rsid w:val="004064D4"/>
    <w:rsid w:val="00421E58"/>
    <w:rsid w:val="0048431A"/>
    <w:rsid w:val="004E7F45"/>
    <w:rsid w:val="004F4966"/>
    <w:rsid w:val="0051209D"/>
    <w:rsid w:val="00532F8D"/>
    <w:rsid w:val="0054077C"/>
    <w:rsid w:val="00556FBD"/>
    <w:rsid w:val="00571A64"/>
    <w:rsid w:val="00590F96"/>
    <w:rsid w:val="005A736C"/>
    <w:rsid w:val="005E6927"/>
    <w:rsid w:val="006219F8"/>
    <w:rsid w:val="00626CB9"/>
    <w:rsid w:val="00646A2D"/>
    <w:rsid w:val="0065579C"/>
    <w:rsid w:val="0068760D"/>
    <w:rsid w:val="006C56E0"/>
    <w:rsid w:val="007844F1"/>
    <w:rsid w:val="00791A66"/>
    <w:rsid w:val="007978AC"/>
    <w:rsid w:val="007A4F3E"/>
    <w:rsid w:val="007E6AED"/>
    <w:rsid w:val="0082334C"/>
    <w:rsid w:val="00862859"/>
    <w:rsid w:val="0088588D"/>
    <w:rsid w:val="008A1D26"/>
    <w:rsid w:val="008A34E5"/>
    <w:rsid w:val="008C2AA1"/>
    <w:rsid w:val="008D4A5A"/>
    <w:rsid w:val="00902C4C"/>
    <w:rsid w:val="0091647C"/>
    <w:rsid w:val="009371D2"/>
    <w:rsid w:val="009833AD"/>
    <w:rsid w:val="009A74F5"/>
    <w:rsid w:val="009F1D5A"/>
    <w:rsid w:val="00A04474"/>
    <w:rsid w:val="00A34CC6"/>
    <w:rsid w:val="00A42486"/>
    <w:rsid w:val="00A941B5"/>
    <w:rsid w:val="00A95981"/>
    <w:rsid w:val="00AC1FA9"/>
    <w:rsid w:val="00AD527D"/>
    <w:rsid w:val="00AE0D56"/>
    <w:rsid w:val="00AF34B8"/>
    <w:rsid w:val="00AF3B5B"/>
    <w:rsid w:val="00AF46D5"/>
    <w:rsid w:val="00B24BD0"/>
    <w:rsid w:val="00B4221B"/>
    <w:rsid w:val="00B44E4C"/>
    <w:rsid w:val="00B61C35"/>
    <w:rsid w:val="00B942CB"/>
    <w:rsid w:val="00BA4D5F"/>
    <w:rsid w:val="00BA5623"/>
    <w:rsid w:val="00BB1D93"/>
    <w:rsid w:val="00BC2935"/>
    <w:rsid w:val="00BE1502"/>
    <w:rsid w:val="00C2557D"/>
    <w:rsid w:val="00C25CB5"/>
    <w:rsid w:val="00C3154A"/>
    <w:rsid w:val="00C37F41"/>
    <w:rsid w:val="00C454DF"/>
    <w:rsid w:val="00C50932"/>
    <w:rsid w:val="00C87D52"/>
    <w:rsid w:val="00CE4FD7"/>
    <w:rsid w:val="00CE5418"/>
    <w:rsid w:val="00D10BD4"/>
    <w:rsid w:val="00D541C8"/>
    <w:rsid w:val="00D5626E"/>
    <w:rsid w:val="00D867EF"/>
    <w:rsid w:val="00D92B63"/>
    <w:rsid w:val="00D9409B"/>
    <w:rsid w:val="00DA4552"/>
    <w:rsid w:val="00DA52B0"/>
    <w:rsid w:val="00DF15F6"/>
    <w:rsid w:val="00DF4DCE"/>
    <w:rsid w:val="00E26257"/>
    <w:rsid w:val="00E864B9"/>
    <w:rsid w:val="00E93AD3"/>
    <w:rsid w:val="00E96ACA"/>
    <w:rsid w:val="00EB3B67"/>
    <w:rsid w:val="00EE0DA2"/>
    <w:rsid w:val="00F07ACA"/>
    <w:rsid w:val="00F14A6A"/>
    <w:rsid w:val="00F15254"/>
    <w:rsid w:val="00F2567C"/>
    <w:rsid w:val="00F76949"/>
    <w:rsid w:val="00F85554"/>
    <w:rsid w:val="00F94DCB"/>
    <w:rsid w:val="00FF2630"/>
    <w:rsid w:val="01A131C3"/>
    <w:rsid w:val="01FB18B7"/>
    <w:rsid w:val="024B3ED5"/>
    <w:rsid w:val="032C2CC0"/>
    <w:rsid w:val="050161E5"/>
    <w:rsid w:val="05545442"/>
    <w:rsid w:val="056915AB"/>
    <w:rsid w:val="057B705B"/>
    <w:rsid w:val="07555753"/>
    <w:rsid w:val="09837BF5"/>
    <w:rsid w:val="0CA16AA5"/>
    <w:rsid w:val="0D5E33E4"/>
    <w:rsid w:val="10E96DCA"/>
    <w:rsid w:val="11A97B1A"/>
    <w:rsid w:val="12EE04EB"/>
    <w:rsid w:val="142E2B41"/>
    <w:rsid w:val="146050F4"/>
    <w:rsid w:val="15097FDB"/>
    <w:rsid w:val="150E1C7B"/>
    <w:rsid w:val="15326481"/>
    <w:rsid w:val="15861A43"/>
    <w:rsid w:val="15F1076B"/>
    <w:rsid w:val="188E1215"/>
    <w:rsid w:val="18B11774"/>
    <w:rsid w:val="1A9221AF"/>
    <w:rsid w:val="1BDD60C2"/>
    <w:rsid w:val="1C0559C8"/>
    <w:rsid w:val="1DCA3D55"/>
    <w:rsid w:val="1E1060D3"/>
    <w:rsid w:val="1E3265FA"/>
    <w:rsid w:val="1FE932D4"/>
    <w:rsid w:val="1FF041AE"/>
    <w:rsid w:val="1FFE717E"/>
    <w:rsid w:val="20055C73"/>
    <w:rsid w:val="20076CF3"/>
    <w:rsid w:val="201C0001"/>
    <w:rsid w:val="204E7819"/>
    <w:rsid w:val="20A372F0"/>
    <w:rsid w:val="20CB4BB3"/>
    <w:rsid w:val="213E16CC"/>
    <w:rsid w:val="216F55CD"/>
    <w:rsid w:val="21F07040"/>
    <w:rsid w:val="22902033"/>
    <w:rsid w:val="22F14622"/>
    <w:rsid w:val="23997488"/>
    <w:rsid w:val="24744770"/>
    <w:rsid w:val="249267E9"/>
    <w:rsid w:val="276B0F6B"/>
    <w:rsid w:val="27B619BA"/>
    <w:rsid w:val="29370BA0"/>
    <w:rsid w:val="2A9653EA"/>
    <w:rsid w:val="2AF0519A"/>
    <w:rsid w:val="2B3505C9"/>
    <w:rsid w:val="2B7251A1"/>
    <w:rsid w:val="2D0F3610"/>
    <w:rsid w:val="2DAF6AA4"/>
    <w:rsid w:val="2E447434"/>
    <w:rsid w:val="2F7470F0"/>
    <w:rsid w:val="308630DB"/>
    <w:rsid w:val="310877D6"/>
    <w:rsid w:val="31996818"/>
    <w:rsid w:val="322F25BC"/>
    <w:rsid w:val="3282567F"/>
    <w:rsid w:val="32AF1344"/>
    <w:rsid w:val="337C71E2"/>
    <w:rsid w:val="33ED6206"/>
    <w:rsid w:val="345E6417"/>
    <w:rsid w:val="348A3282"/>
    <w:rsid w:val="35D82F96"/>
    <w:rsid w:val="3601309E"/>
    <w:rsid w:val="373778B4"/>
    <w:rsid w:val="379D2C7F"/>
    <w:rsid w:val="37A458DA"/>
    <w:rsid w:val="37CF580A"/>
    <w:rsid w:val="384E752E"/>
    <w:rsid w:val="39135CA7"/>
    <w:rsid w:val="394C6EB2"/>
    <w:rsid w:val="3A774A34"/>
    <w:rsid w:val="3AE96DA9"/>
    <w:rsid w:val="3BFA02F7"/>
    <w:rsid w:val="3C7D414C"/>
    <w:rsid w:val="3CC309AB"/>
    <w:rsid w:val="3E780D76"/>
    <w:rsid w:val="40F85902"/>
    <w:rsid w:val="42AA28AA"/>
    <w:rsid w:val="43F37E46"/>
    <w:rsid w:val="44123AED"/>
    <w:rsid w:val="44C85855"/>
    <w:rsid w:val="45000F8C"/>
    <w:rsid w:val="45697947"/>
    <w:rsid w:val="47DD19DA"/>
    <w:rsid w:val="486A24C5"/>
    <w:rsid w:val="48CD242C"/>
    <w:rsid w:val="496B0759"/>
    <w:rsid w:val="4A6B0188"/>
    <w:rsid w:val="4ABB1D38"/>
    <w:rsid w:val="4C1D7892"/>
    <w:rsid w:val="4D5E548A"/>
    <w:rsid w:val="4E3917D8"/>
    <w:rsid w:val="4EB67BBA"/>
    <w:rsid w:val="4EF318AC"/>
    <w:rsid w:val="50225853"/>
    <w:rsid w:val="50D864D3"/>
    <w:rsid w:val="51086967"/>
    <w:rsid w:val="513F2C99"/>
    <w:rsid w:val="516E4782"/>
    <w:rsid w:val="52B400B8"/>
    <w:rsid w:val="52F952BE"/>
    <w:rsid w:val="53243C8C"/>
    <w:rsid w:val="534A24ED"/>
    <w:rsid w:val="53AF4999"/>
    <w:rsid w:val="55675746"/>
    <w:rsid w:val="556E394C"/>
    <w:rsid w:val="55797C08"/>
    <w:rsid w:val="59F561A9"/>
    <w:rsid w:val="5A6F5206"/>
    <w:rsid w:val="5DAE5A52"/>
    <w:rsid w:val="5E0D0BDF"/>
    <w:rsid w:val="5F253730"/>
    <w:rsid w:val="5F5D78DC"/>
    <w:rsid w:val="601F0EAE"/>
    <w:rsid w:val="602E7188"/>
    <w:rsid w:val="620675AB"/>
    <w:rsid w:val="622B13D1"/>
    <w:rsid w:val="62AC7955"/>
    <w:rsid w:val="63490652"/>
    <w:rsid w:val="64A86918"/>
    <w:rsid w:val="650E0CE2"/>
    <w:rsid w:val="65CD15D6"/>
    <w:rsid w:val="68F93880"/>
    <w:rsid w:val="6951565F"/>
    <w:rsid w:val="69552DD1"/>
    <w:rsid w:val="69CB6804"/>
    <w:rsid w:val="6BE256D4"/>
    <w:rsid w:val="6C15171F"/>
    <w:rsid w:val="6E083216"/>
    <w:rsid w:val="6E8A7348"/>
    <w:rsid w:val="6E9256FE"/>
    <w:rsid w:val="6EA70D04"/>
    <w:rsid w:val="6EC5277F"/>
    <w:rsid w:val="6EC92549"/>
    <w:rsid w:val="6F2B5042"/>
    <w:rsid w:val="711A28E5"/>
    <w:rsid w:val="71482881"/>
    <w:rsid w:val="71D2493E"/>
    <w:rsid w:val="71DB227A"/>
    <w:rsid w:val="723122EE"/>
    <w:rsid w:val="72794FA7"/>
    <w:rsid w:val="730C2F2A"/>
    <w:rsid w:val="739B5F35"/>
    <w:rsid w:val="741A20CB"/>
    <w:rsid w:val="75762924"/>
    <w:rsid w:val="75FC38B9"/>
    <w:rsid w:val="768A5494"/>
    <w:rsid w:val="77854E73"/>
    <w:rsid w:val="797E31CB"/>
    <w:rsid w:val="7A277A18"/>
    <w:rsid w:val="7A9A1A11"/>
    <w:rsid w:val="7B9157EC"/>
    <w:rsid w:val="7BB578CB"/>
    <w:rsid w:val="7C3D28A5"/>
    <w:rsid w:val="7C5B0643"/>
    <w:rsid w:val="7E071097"/>
    <w:rsid w:val="7E463F5C"/>
    <w:rsid w:val="7E611631"/>
    <w:rsid w:val="7E6B05F1"/>
    <w:rsid w:val="7E6B3D8A"/>
    <w:rsid w:val="7F6669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autoRedefine/>
    <w:qFormat/>
    <w:uiPriority w:val="99"/>
    <w:pPr>
      <w:jc w:val="left"/>
    </w:pPr>
  </w:style>
  <w:style w:type="paragraph" w:styleId="3">
    <w:name w:val="Body Text Indent"/>
    <w:basedOn w:val="1"/>
    <w:autoRedefine/>
    <w:qFormat/>
    <w:uiPriority w:val="0"/>
    <w:pPr>
      <w:ind w:firstLine="600" w:firstLineChars="200"/>
    </w:pPr>
    <w:rPr>
      <w:rFonts w:eastAsia="仿宋_GB2312"/>
      <w:sz w:val="30"/>
      <w:szCs w:val="24"/>
    </w:rPr>
  </w:style>
  <w:style w:type="paragraph" w:styleId="4">
    <w:name w:val="Balloon Text"/>
    <w:basedOn w:val="1"/>
    <w:link w:val="13"/>
    <w:autoRedefine/>
    <w:qFormat/>
    <w:uiPriority w:val="0"/>
    <w:rPr>
      <w:sz w:val="18"/>
      <w:szCs w:val="18"/>
    </w:r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4"/>
    <w:autoRedefine/>
    <w:qFormat/>
    <w:uiPriority w:val="0"/>
    <w:rPr>
      <w:b/>
      <w:bCs/>
    </w:rPr>
  </w:style>
  <w:style w:type="table" w:styleId="9">
    <w:name w:val="Table Grid"/>
    <w:basedOn w:val="8"/>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autoRedefine/>
    <w:qFormat/>
    <w:uiPriority w:val="0"/>
    <w:rPr>
      <w:sz w:val="21"/>
      <w:szCs w:val="21"/>
    </w:rPr>
  </w:style>
  <w:style w:type="character" w:customStyle="1" w:styleId="12">
    <w:name w:val="批注文字 字符"/>
    <w:link w:val="2"/>
    <w:autoRedefine/>
    <w:qFormat/>
    <w:uiPriority w:val="99"/>
    <w:rPr>
      <w:kern w:val="2"/>
      <w:sz w:val="21"/>
      <w:szCs w:val="22"/>
    </w:rPr>
  </w:style>
  <w:style w:type="character" w:customStyle="1" w:styleId="13">
    <w:name w:val="批注框文本 字符"/>
    <w:link w:val="4"/>
    <w:autoRedefine/>
    <w:qFormat/>
    <w:uiPriority w:val="0"/>
    <w:rPr>
      <w:kern w:val="2"/>
      <w:sz w:val="18"/>
      <w:szCs w:val="18"/>
    </w:rPr>
  </w:style>
  <w:style w:type="character" w:customStyle="1" w:styleId="14">
    <w:name w:val="批注主题 字符"/>
    <w:link w:val="7"/>
    <w:autoRedefine/>
    <w:qFormat/>
    <w:uiPriority w:val="0"/>
  </w:style>
  <w:style w:type="character" w:customStyle="1" w:styleId="15">
    <w:name w:val="fontstyle01"/>
    <w:autoRedefine/>
    <w:qFormat/>
    <w:uiPriority w:val="0"/>
    <w:rPr>
      <w:rFonts w:ascii="黑体" w:hAnsi="宋体" w:eastAsia="黑体" w:cs="黑体"/>
      <w:color w:val="000000"/>
      <w:sz w:val="32"/>
      <w:szCs w:val="32"/>
    </w:rPr>
  </w:style>
  <w:style w:type="paragraph" w:customStyle="1" w:styleId="16">
    <w:name w:val="修订1"/>
    <w:autoRedefine/>
    <w:unhideWhenUsed/>
    <w:qFormat/>
    <w:uiPriority w:val="99"/>
    <w:rPr>
      <w:rFonts w:ascii="Times New Roman" w:hAnsi="Times New Roman" w:eastAsia="宋体" w:cs="Times New Roman"/>
      <w:kern w:val="2"/>
      <w:sz w:val="21"/>
      <w:szCs w:val="22"/>
      <w:lang w:val="en-US" w:eastAsia="zh-CN" w:bidi="ar-SA"/>
    </w:rPr>
  </w:style>
  <w:style w:type="paragraph" w:customStyle="1" w:styleId="17">
    <w:name w:val="列出段落1"/>
    <w:basedOn w:val="1"/>
    <w:autoRedefine/>
    <w:qFormat/>
    <w:uiPriority w:val="34"/>
    <w:pPr>
      <w:ind w:firstLine="420" w:firstLineChars="200"/>
    </w:pPr>
  </w:style>
  <w:style w:type="paragraph" w:customStyle="1" w:styleId="18">
    <w:name w:val="Default"/>
    <w:autoRedefine/>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styleId="19">
    <w:name w:val="List Paragraph"/>
    <w:basedOn w:val="1"/>
    <w:autoRedefine/>
    <w:qFormat/>
    <w:uiPriority w:val="99"/>
    <w:pPr>
      <w:ind w:firstLine="420" w:firstLineChars="200"/>
    </w:pPr>
  </w:style>
  <w:style w:type="paragraph" w:customStyle="1" w:styleId="20">
    <w:name w:val="Revision"/>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1315</Words>
  <Characters>1706</Characters>
  <Lines>13</Lines>
  <Paragraphs>3</Paragraphs>
  <TotalTime>4</TotalTime>
  <ScaleCrop>false</ScaleCrop>
  <LinksUpToDate>false</LinksUpToDate>
  <CharactersWithSpaces>1761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2019-12-26T19:53:00Z</dcterms:created>
  <dc:creator>thinkPAD</dc:creator>
  <cp:lastModifiedBy>企业用户_1137131855</cp:lastModifiedBy>
  <cp:lastPrinted>2024-03-01T06:25:00Z</cp:lastPrinted>
  <dcterms:modified xsi:type="dcterms:W3CDTF">2025-05-29T01:53:02Z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4CBD88FE8F2C44DBAE9F1135C2873110_13</vt:lpwstr>
  </property>
  <property fmtid="{D5CDD505-2E9C-101B-9397-08002B2CF9AE}" pid="4" name="KSOTemplateDocerSaveRecord">
    <vt:lpwstr>eyJoZGlkIjoiZGZkZWMzMDgyMzMzM2IxNDRkZGUwNjQ2NjczNjQzOTQiLCJ1c2VySWQiOiIxNjMxODUyMjg5In0=</vt:lpwstr>
  </property>
</Properties>
</file>