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绝热用聚苯乙烯泡沫塑料</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31A86552">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86C3688">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5110B56A">
      <w:pPr>
        <w:snapToGrid w:val="0"/>
        <w:spacing w:line="440" w:lineRule="exact"/>
        <w:ind w:firstLine="420" w:firstLineChars="200"/>
        <w:rPr>
          <w:rFonts w:hint="eastAsia"/>
          <w:color w:val="000000"/>
          <w:szCs w:val="21"/>
        </w:rPr>
      </w:pPr>
      <w:bookmarkStart w:id="0" w:name="_GoBack"/>
      <w:r>
        <w:rPr>
          <w:color w:val="000000"/>
          <w:szCs w:val="21"/>
        </w:rPr>
        <w:t>绝热用聚苯乙烯泡沫塑料抽</w:t>
      </w:r>
      <w:bookmarkEnd w:id="0"/>
      <w:r>
        <w:rPr>
          <w:color w:val="000000"/>
          <w:szCs w:val="21"/>
        </w:rPr>
        <w:t>样样品尺寸和数量见表</w:t>
      </w:r>
      <w:r>
        <w:rPr>
          <w:rFonts w:hint="eastAsia"/>
          <w:color w:val="000000"/>
          <w:szCs w:val="21"/>
        </w:rPr>
        <w:t>1。</w:t>
      </w:r>
    </w:p>
    <w:p w14:paraId="06D03034">
      <w:pPr>
        <w:snapToGrid w:val="0"/>
        <w:spacing w:line="440" w:lineRule="exact"/>
        <w:ind w:firstLine="420" w:firstLineChars="200"/>
        <w:jc w:val="center"/>
        <w:rPr>
          <w:rFonts w:hint="eastAsia"/>
          <w:color w:val="000000"/>
          <w:szCs w:val="21"/>
        </w:rPr>
      </w:pPr>
      <w:r>
        <w:rPr>
          <w:rFonts w:hint="eastAsia"/>
          <w:color w:val="000000"/>
          <w:szCs w:val="21"/>
        </w:rPr>
        <w:t>表1 绝热用聚苯乙烯泡沫塑料</w:t>
      </w:r>
      <w:r>
        <w:rPr>
          <w:color w:val="000000"/>
          <w:szCs w:val="21"/>
        </w:rPr>
        <w:t>抽样样品尺寸和数量</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028"/>
        <w:gridCol w:w="1470"/>
        <w:gridCol w:w="1971"/>
        <w:gridCol w:w="3209"/>
      </w:tblGrid>
      <w:tr w14:paraId="14696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679" w:type="dxa"/>
            <w:noWrap w:val="0"/>
            <w:vAlign w:val="center"/>
          </w:tcPr>
          <w:p w14:paraId="4A3CE4C5">
            <w:pPr>
              <w:snapToGrid w:val="0"/>
              <w:spacing w:line="300" w:lineRule="exact"/>
              <w:jc w:val="center"/>
              <w:rPr>
                <w:szCs w:val="21"/>
              </w:rPr>
            </w:pPr>
            <w:r>
              <w:rPr>
                <w:szCs w:val="21"/>
              </w:rPr>
              <w:t>序号</w:t>
            </w:r>
          </w:p>
        </w:tc>
        <w:tc>
          <w:tcPr>
            <w:tcW w:w="1028" w:type="dxa"/>
            <w:noWrap w:val="0"/>
            <w:vAlign w:val="center"/>
          </w:tcPr>
          <w:p w14:paraId="21D336BA">
            <w:pPr>
              <w:snapToGrid w:val="0"/>
              <w:spacing w:line="300" w:lineRule="exact"/>
              <w:jc w:val="center"/>
              <w:rPr>
                <w:szCs w:val="21"/>
              </w:rPr>
            </w:pPr>
            <w:r>
              <w:rPr>
                <w:szCs w:val="21"/>
              </w:rPr>
              <w:t>产品名称</w:t>
            </w:r>
          </w:p>
        </w:tc>
        <w:tc>
          <w:tcPr>
            <w:tcW w:w="1470" w:type="dxa"/>
            <w:noWrap w:val="0"/>
            <w:vAlign w:val="center"/>
          </w:tcPr>
          <w:p w14:paraId="402345E3">
            <w:pPr>
              <w:snapToGrid w:val="0"/>
              <w:spacing w:line="300" w:lineRule="exact"/>
              <w:jc w:val="center"/>
              <w:rPr>
                <w:szCs w:val="21"/>
              </w:rPr>
            </w:pPr>
            <w:r>
              <w:rPr>
                <w:szCs w:val="21"/>
              </w:rPr>
              <w:t>燃烧性能等级</w:t>
            </w:r>
          </w:p>
        </w:tc>
        <w:tc>
          <w:tcPr>
            <w:tcW w:w="1971" w:type="dxa"/>
            <w:noWrap w:val="0"/>
            <w:vAlign w:val="center"/>
          </w:tcPr>
          <w:p w14:paraId="308034FF">
            <w:pPr>
              <w:snapToGrid w:val="0"/>
              <w:spacing w:line="300" w:lineRule="exact"/>
              <w:jc w:val="center"/>
              <w:rPr>
                <w:rFonts w:hint="eastAsia"/>
                <w:szCs w:val="21"/>
                <w:lang w:val="de-DE"/>
              </w:rPr>
            </w:pPr>
            <w:r>
              <w:rPr>
                <w:rFonts w:hint="eastAsia"/>
                <w:szCs w:val="21"/>
                <w:lang w:val="de-DE"/>
              </w:rPr>
              <w:t>每批次</w:t>
            </w:r>
            <w:r>
              <w:rPr>
                <w:szCs w:val="21"/>
              </w:rPr>
              <w:t>抽样样品尺寸</w:t>
            </w:r>
          </w:p>
        </w:tc>
        <w:tc>
          <w:tcPr>
            <w:tcW w:w="3209" w:type="dxa"/>
            <w:noWrap w:val="0"/>
            <w:vAlign w:val="center"/>
          </w:tcPr>
          <w:p w14:paraId="587CFDA4">
            <w:pPr>
              <w:snapToGrid w:val="0"/>
              <w:spacing w:line="300" w:lineRule="exact"/>
              <w:jc w:val="center"/>
              <w:rPr>
                <w:szCs w:val="21"/>
              </w:rPr>
            </w:pPr>
            <w:r>
              <w:rPr>
                <w:rFonts w:hint="eastAsia"/>
                <w:szCs w:val="21"/>
                <w:lang w:val="de-DE"/>
              </w:rPr>
              <w:t>每批次</w:t>
            </w:r>
            <w:r>
              <w:rPr>
                <w:szCs w:val="21"/>
              </w:rPr>
              <w:t>抽样样品数量</w:t>
            </w:r>
          </w:p>
        </w:tc>
      </w:tr>
      <w:tr w14:paraId="618C7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79" w:type="dxa"/>
            <w:noWrap w:val="0"/>
            <w:vAlign w:val="center"/>
          </w:tcPr>
          <w:p w14:paraId="27F477C6">
            <w:pPr>
              <w:snapToGrid w:val="0"/>
              <w:spacing w:line="300" w:lineRule="exact"/>
              <w:jc w:val="center"/>
              <w:rPr>
                <w:szCs w:val="21"/>
              </w:rPr>
            </w:pPr>
            <w:r>
              <w:rPr>
                <w:szCs w:val="21"/>
              </w:rPr>
              <w:t>1</w:t>
            </w:r>
          </w:p>
        </w:tc>
        <w:tc>
          <w:tcPr>
            <w:tcW w:w="1028" w:type="dxa"/>
            <w:vMerge w:val="restart"/>
            <w:noWrap w:val="0"/>
            <w:vAlign w:val="center"/>
          </w:tcPr>
          <w:p w14:paraId="2DD490AD">
            <w:pPr>
              <w:spacing w:line="300" w:lineRule="exact"/>
              <w:jc w:val="center"/>
              <w:rPr>
                <w:szCs w:val="21"/>
              </w:rPr>
            </w:pPr>
            <w:r>
              <w:rPr>
                <w:rFonts w:hint="eastAsia"/>
                <w:szCs w:val="21"/>
              </w:rPr>
              <w:t>模塑聚苯乙烯泡沫塑料</w:t>
            </w:r>
          </w:p>
        </w:tc>
        <w:tc>
          <w:tcPr>
            <w:tcW w:w="1470" w:type="dxa"/>
            <w:noWrap w:val="0"/>
            <w:vAlign w:val="center"/>
          </w:tcPr>
          <w:p w14:paraId="52B13496">
            <w:pPr>
              <w:snapToGrid w:val="0"/>
              <w:spacing w:line="300" w:lineRule="exact"/>
              <w:jc w:val="center"/>
              <w:rPr>
                <w:szCs w:val="21"/>
              </w:rPr>
            </w:pPr>
            <w:r>
              <w:rPr>
                <w:rFonts w:hint="eastAsia"/>
                <w:szCs w:val="21"/>
              </w:rPr>
              <w:t>B</w:t>
            </w:r>
            <w:r>
              <w:rPr>
                <w:rFonts w:hint="eastAsia"/>
                <w:szCs w:val="21"/>
                <w:vertAlign w:val="subscript"/>
              </w:rPr>
              <w:t>1</w:t>
            </w:r>
            <w:r>
              <w:rPr>
                <w:rFonts w:hint="eastAsia"/>
                <w:szCs w:val="21"/>
              </w:rPr>
              <w:t>级或B</w:t>
            </w:r>
            <w:r>
              <w:rPr>
                <w:rFonts w:hint="eastAsia"/>
                <w:szCs w:val="21"/>
                <w:vertAlign w:val="subscript"/>
              </w:rPr>
              <w:t>2</w:t>
            </w:r>
            <w:r>
              <w:rPr>
                <w:rFonts w:hint="eastAsia"/>
                <w:szCs w:val="21"/>
              </w:rPr>
              <w:t>(D)级</w:t>
            </w:r>
          </w:p>
        </w:tc>
        <w:tc>
          <w:tcPr>
            <w:tcW w:w="1971" w:type="dxa"/>
            <w:vMerge w:val="restart"/>
            <w:noWrap w:val="0"/>
            <w:vAlign w:val="center"/>
          </w:tcPr>
          <w:p w14:paraId="32C70E87">
            <w:pPr>
              <w:snapToGrid w:val="0"/>
              <w:spacing w:line="300" w:lineRule="exact"/>
              <w:rPr>
                <w:rFonts w:hint="eastAsia"/>
                <w:szCs w:val="21"/>
                <w:lang w:val="de-DE"/>
              </w:rPr>
            </w:pPr>
            <w:r>
              <w:rPr>
                <w:rFonts w:hint="eastAsia"/>
                <w:szCs w:val="21"/>
                <w:lang w:val="de-DE"/>
              </w:rPr>
              <w:t>随机抽取长度不小于900mm，宽度不小于500mm，厚度不小于50mm的产品。</w:t>
            </w:r>
          </w:p>
        </w:tc>
        <w:tc>
          <w:tcPr>
            <w:tcW w:w="3209" w:type="dxa"/>
            <w:noWrap w:val="0"/>
            <w:vAlign w:val="center"/>
          </w:tcPr>
          <w:p w14:paraId="747AFEFC">
            <w:pPr>
              <w:snapToGrid w:val="0"/>
              <w:spacing w:line="300" w:lineRule="exact"/>
              <w:jc w:val="left"/>
              <w:rPr>
                <w:szCs w:val="21"/>
                <w:lang w:val="de-DE"/>
              </w:rPr>
            </w:pPr>
            <w:r>
              <w:rPr>
                <w:rFonts w:hint="eastAsia"/>
                <w:szCs w:val="21"/>
                <w:lang w:val="de-DE"/>
              </w:rPr>
              <w:t>在同一批次产品中抽取样品不少于至少30m</w:t>
            </w:r>
            <w:r>
              <w:rPr>
                <w:rFonts w:hint="eastAsia"/>
                <w:szCs w:val="21"/>
                <w:vertAlign w:val="superscript"/>
                <w:lang w:val="de-DE"/>
              </w:rPr>
              <w:t>2</w:t>
            </w:r>
            <w:r>
              <w:rPr>
                <w:rFonts w:hint="eastAsia"/>
                <w:szCs w:val="21"/>
                <w:lang w:val="de-DE"/>
              </w:rPr>
              <w:t>，</w:t>
            </w:r>
            <w:r>
              <w:rPr>
                <w:color w:val="000000"/>
                <w:szCs w:val="21"/>
              </w:rPr>
              <w:t>其中至少15m</w:t>
            </w:r>
            <w:r>
              <w:rPr>
                <w:color w:val="000000"/>
                <w:szCs w:val="21"/>
                <w:vertAlign w:val="superscript"/>
              </w:rPr>
              <w:t>2</w:t>
            </w:r>
            <w:r>
              <w:rPr>
                <w:color w:val="000000"/>
                <w:szCs w:val="21"/>
              </w:rPr>
              <w:t>作为检验样品，15m</w:t>
            </w:r>
            <w:r>
              <w:rPr>
                <w:color w:val="000000"/>
                <w:szCs w:val="21"/>
                <w:vertAlign w:val="superscript"/>
              </w:rPr>
              <w:t>2</w:t>
            </w:r>
            <w:r>
              <w:rPr>
                <w:color w:val="000000"/>
                <w:szCs w:val="21"/>
              </w:rPr>
              <w:t>作为备用样品</w:t>
            </w:r>
            <w:r>
              <w:rPr>
                <w:rFonts w:hint="eastAsia"/>
                <w:szCs w:val="21"/>
                <w:lang w:val="de-DE"/>
              </w:rPr>
              <w:t>。</w:t>
            </w:r>
          </w:p>
        </w:tc>
      </w:tr>
      <w:tr w14:paraId="36E44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79" w:type="dxa"/>
            <w:noWrap w:val="0"/>
            <w:vAlign w:val="center"/>
          </w:tcPr>
          <w:p w14:paraId="497E119E">
            <w:pPr>
              <w:snapToGrid w:val="0"/>
              <w:spacing w:line="300" w:lineRule="exact"/>
              <w:jc w:val="center"/>
              <w:rPr>
                <w:szCs w:val="21"/>
              </w:rPr>
            </w:pPr>
            <w:r>
              <w:rPr>
                <w:szCs w:val="21"/>
              </w:rPr>
              <w:t>2</w:t>
            </w:r>
          </w:p>
        </w:tc>
        <w:tc>
          <w:tcPr>
            <w:tcW w:w="1028" w:type="dxa"/>
            <w:vMerge w:val="continue"/>
            <w:noWrap w:val="0"/>
            <w:vAlign w:val="center"/>
          </w:tcPr>
          <w:p w14:paraId="21368A0E">
            <w:pPr>
              <w:spacing w:line="300" w:lineRule="exact"/>
              <w:jc w:val="center"/>
              <w:rPr>
                <w:szCs w:val="21"/>
              </w:rPr>
            </w:pPr>
          </w:p>
        </w:tc>
        <w:tc>
          <w:tcPr>
            <w:tcW w:w="1470" w:type="dxa"/>
            <w:noWrap w:val="0"/>
            <w:vAlign w:val="center"/>
          </w:tcPr>
          <w:p w14:paraId="55773762">
            <w:pPr>
              <w:snapToGrid w:val="0"/>
              <w:spacing w:line="300" w:lineRule="exact"/>
              <w:jc w:val="center"/>
              <w:rPr>
                <w:szCs w:val="21"/>
              </w:rPr>
            </w:pPr>
            <w:r>
              <w:rPr>
                <w:color w:val="000000"/>
                <w:szCs w:val="21"/>
              </w:rPr>
              <w:t>B</w:t>
            </w:r>
            <w:r>
              <w:rPr>
                <w:color w:val="000000"/>
                <w:szCs w:val="21"/>
                <w:vertAlign w:val="subscript"/>
              </w:rPr>
              <w:t>2</w:t>
            </w:r>
            <w:r>
              <w:rPr>
                <w:color w:val="000000"/>
                <w:szCs w:val="21"/>
              </w:rPr>
              <w:t>（E）级</w:t>
            </w:r>
          </w:p>
        </w:tc>
        <w:tc>
          <w:tcPr>
            <w:tcW w:w="1971" w:type="dxa"/>
            <w:vMerge w:val="continue"/>
            <w:noWrap w:val="0"/>
            <w:vAlign w:val="top"/>
          </w:tcPr>
          <w:p w14:paraId="3E7ED0A1">
            <w:pPr>
              <w:snapToGrid w:val="0"/>
              <w:spacing w:line="300" w:lineRule="exact"/>
              <w:jc w:val="center"/>
              <w:rPr>
                <w:szCs w:val="21"/>
              </w:rPr>
            </w:pPr>
          </w:p>
        </w:tc>
        <w:tc>
          <w:tcPr>
            <w:tcW w:w="3209" w:type="dxa"/>
            <w:noWrap w:val="0"/>
            <w:vAlign w:val="center"/>
          </w:tcPr>
          <w:p w14:paraId="1E0DFDB0">
            <w:pPr>
              <w:snapToGrid w:val="0"/>
              <w:spacing w:line="300" w:lineRule="exact"/>
              <w:jc w:val="left"/>
              <w:rPr>
                <w:szCs w:val="21"/>
              </w:rPr>
            </w:pPr>
            <w:r>
              <w:rPr>
                <w:color w:val="000000"/>
                <w:szCs w:val="21"/>
              </w:rPr>
              <w:t>同一批次产品中抽取样品不少于10m</w:t>
            </w:r>
            <w:r>
              <w:rPr>
                <w:color w:val="000000"/>
                <w:szCs w:val="21"/>
                <w:vertAlign w:val="superscript"/>
              </w:rPr>
              <w:t>2</w:t>
            </w:r>
            <w:r>
              <w:rPr>
                <w:color w:val="000000"/>
                <w:szCs w:val="21"/>
              </w:rPr>
              <w:t>，其中至少5m</w:t>
            </w:r>
            <w:r>
              <w:rPr>
                <w:color w:val="000000"/>
                <w:szCs w:val="21"/>
                <w:vertAlign w:val="superscript"/>
              </w:rPr>
              <w:t>2</w:t>
            </w:r>
            <w:r>
              <w:rPr>
                <w:color w:val="000000"/>
                <w:szCs w:val="21"/>
              </w:rPr>
              <w:t>为检验样品，5m</w:t>
            </w:r>
            <w:r>
              <w:rPr>
                <w:color w:val="000000"/>
                <w:szCs w:val="21"/>
                <w:vertAlign w:val="superscript"/>
              </w:rPr>
              <w:t>2</w:t>
            </w:r>
            <w:r>
              <w:rPr>
                <w:color w:val="000000"/>
                <w:szCs w:val="21"/>
              </w:rPr>
              <w:t>为备用样品。</w:t>
            </w:r>
          </w:p>
        </w:tc>
      </w:tr>
      <w:tr w14:paraId="2C05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79" w:type="dxa"/>
            <w:noWrap w:val="0"/>
            <w:vAlign w:val="center"/>
          </w:tcPr>
          <w:p w14:paraId="666DCAAF">
            <w:pPr>
              <w:snapToGrid w:val="0"/>
              <w:spacing w:line="300" w:lineRule="exact"/>
              <w:jc w:val="center"/>
              <w:rPr>
                <w:szCs w:val="21"/>
              </w:rPr>
            </w:pPr>
            <w:r>
              <w:rPr>
                <w:szCs w:val="21"/>
              </w:rPr>
              <w:t>3</w:t>
            </w:r>
          </w:p>
        </w:tc>
        <w:tc>
          <w:tcPr>
            <w:tcW w:w="1028" w:type="dxa"/>
            <w:noWrap w:val="0"/>
            <w:vAlign w:val="center"/>
          </w:tcPr>
          <w:p w14:paraId="145C04AE">
            <w:pPr>
              <w:spacing w:line="300" w:lineRule="exact"/>
              <w:jc w:val="center"/>
              <w:rPr>
                <w:szCs w:val="21"/>
              </w:rPr>
            </w:pPr>
            <w:r>
              <w:rPr>
                <w:rFonts w:hint="eastAsia"/>
                <w:szCs w:val="21"/>
              </w:rPr>
              <w:t>挤塑聚苯乙烯泡沫塑料</w:t>
            </w:r>
          </w:p>
        </w:tc>
        <w:tc>
          <w:tcPr>
            <w:tcW w:w="1470" w:type="dxa"/>
            <w:noWrap w:val="0"/>
            <w:vAlign w:val="center"/>
          </w:tcPr>
          <w:p w14:paraId="6FF2BB4B">
            <w:pPr>
              <w:snapToGrid w:val="0"/>
              <w:spacing w:line="300" w:lineRule="exact"/>
              <w:jc w:val="center"/>
              <w:rPr>
                <w:rFonts w:hint="eastAsia" w:eastAsia="宋体"/>
                <w:szCs w:val="21"/>
                <w:lang w:val="en-US" w:eastAsia="zh-CN"/>
              </w:rPr>
            </w:pPr>
            <w:r>
              <w:rPr>
                <w:rFonts w:hint="eastAsia"/>
                <w:szCs w:val="21"/>
                <w:lang w:val="en-US" w:eastAsia="zh-CN"/>
              </w:rPr>
              <w:t>/</w:t>
            </w:r>
          </w:p>
        </w:tc>
        <w:tc>
          <w:tcPr>
            <w:tcW w:w="1971" w:type="dxa"/>
            <w:noWrap w:val="0"/>
            <w:vAlign w:val="center"/>
          </w:tcPr>
          <w:p w14:paraId="0E8D6627">
            <w:pPr>
              <w:snapToGrid w:val="0"/>
              <w:spacing w:line="300" w:lineRule="exact"/>
              <w:jc w:val="center"/>
              <w:rPr>
                <w:rFonts w:hint="eastAsia" w:eastAsia="宋体"/>
                <w:szCs w:val="21"/>
                <w:lang w:val="en-US" w:eastAsia="zh-CN"/>
              </w:rPr>
            </w:pPr>
            <w:r>
              <w:rPr>
                <w:rFonts w:hint="eastAsia"/>
                <w:szCs w:val="21"/>
                <w:lang w:val="en-US" w:eastAsia="zh-CN"/>
              </w:rPr>
              <w:t>整块</w:t>
            </w:r>
          </w:p>
        </w:tc>
        <w:tc>
          <w:tcPr>
            <w:tcW w:w="3209" w:type="dxa"/>
            <w:shd w:val="clear" w:color="auto" w:fill="auto"/>
            <w:noWrap w:val="0"/>
            <w:vAlign w:val="center"/>
          </w:tcPr>
          <w:p w14:paraId="16EC09E1">
            <w:pPr>
              <w:snapToGrid w:val="0"/>
              <w:spacing w:line="300" w:lineRule="exact"/>
              <w:jc w:val="left"/>
              <w:rPr>
                <w:rFonts w:hint="default" w:ascii="Times New Roman" w:hAnsi="Times New Roman" w:eastAsia="宋体" w:cs="Times New Roman"/>
                <w:kern w:val="2"/>
                <w:sz w:val="21"/>
                <w:szCs w:val="21"/>
                <w:lang w:val="en-US" w:eastAsia="zh-CN" w:bidi="ar-SA"/>
              </w:rPr>
            </w:pPr>
            <w:r>
              <w:rPr>
                <w:color w:val="000000"/>
                <w:szCs w:val="21"/>
              </w:rPr>
              <w:t>同一批次产品中抽取样品不少于</w:t>
            </w:r>
            <w:r>
              <w:rPr>
                <w:rFonts w:hint="eastAsia"/>
                <w:color w:val="000000"/>
                <w:szCs w:val="21"/>
                <w:lang w:val="en-US" w:eastAsia="zh-CN"/>
              </w:rPr>
              <w:t>6整块；</w:t>
            </w:r>
            <w:r>
              <w:rPr>
                <w:color w:val="000000"/>
                <w:szCs w:val="21"/>
              </w:rPr>
              <w:t>其中至少</w:t>
            </w:r>
            <w:r>
              <w:rPr>
                <w:rFonts w:hint="eastAsia"/>
                <w:color w:val="000000"/>
                <w:szCs w:val="21"/>
                <w:lang w:val="en-US" w:eastAsia="zh-CN"/>
              </w:rPr>
              <w:t>3整块</w:t>
            </w:r>
            <w:r>
              <w:rPr>
                <w:color w:val="000000"/>
                <w:szCs w:val="21"/>
              </w:rPr>
              <w:t>为检验样品，</w:t>
            </w:r>
            <w:r>
              <w:rPr>
                <w:rFonts w:hint="eastAsia"/>
                <w:color w:val="000000"/>
                <w:szCs w:val="21"/>
                <w:lang w:val="en-US" w:eastAsia="zh-CN"/>
              </w:rPr>
              <w:t>3整块</w:t>
            </w:r>
            <w:r>
              <w:rPr>
                <w:color w:val="000000"/>
                <w:szCs w:val="21"/>
              </w:rPr>
              <w:t>为备用样品。</w:t>
            </w:r>
          </w:p>
        </w:tc>
      </w:tr>
    </w:tbl>
    <w:p w14:paraId="21DBF3C5">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p w14:paraId="1A0A5DE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表2</w:t>
      </w:r>
      <w:r>
        <w:rPr>
          <w:rFonts w:hint="eastAsia" w:ascii="宋体" w:hAnsi="宋体"/>
          <w:color w:val="000000"/>
          <w:szCs w:val="21"/>
          <w:lang w:val="en-US" w:eastAsia="zh-CN"/>
        </w:rPr>
        <w:t xml:space="preserve"> </w:t>
      </w:r>
      <w:r>
        <w:rPr>
          <w:rFonts w:hint="eastAsia"/>
          <w:color w:val="000000"/>
          <w:szCs w:val="21"/>
        </w:rPr>
        <w:t xml:space="preserve"> </w:t>
      </w:r>
      <w:r>
        <w:rPr>
          <w:rFonts w:hint="eastAsia"/>
          <w:color w:val="000000"/>
          <w:szCs w:val="21"/>
          <w:lang w:val="en-US" w:eastAsia="zh-CN"/>
        </w:rPr>
        <w:t>(GB/T 10801.1-2021 《绝热用模塑聚苯乙烯泡沫塑料(EPS)》)</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压缩强度</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8813-2020</w:t>
            </w:r>
          </w:p>
        </w:tc>
      </w:tr>
      <w:tr w14:paraId="4A217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664A8D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4F158EF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尺寸稳定性</w:t>
            </w:r>
          </w:p>
        </w:tc>
        <w:tc>
          <w:tcPr>
            <w:tcW w:w="3473" w:type="dxa"/>
            <w:vAlign w:val="center"/>
          </w:tcPr>
          <w:p w14:paraId="33ABC51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8811-2008</w:t>
            </w:r>
          </w:p>
        </w:tc>
      </w:tr>
      <w:tr w14:paraId="67E40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881BC9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3379E83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吸水率</w:t>
            </w:r>
          </w:p>
        </w:tc>
        <w:tc>
          <w:tcPr>
            <w:tcW w:w="3473" w:type="dxa"/>
            <w:vAlign w:val="center"/>
          </w:tcPr>
          <w:p w14:paraId="42F05C7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8810-2005</w:t>
            </w:r>
          </w:p>
        </w:tc>
      </w:tr>
      <w:tr w14:paraId="1A97F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317657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7FE12F5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熔结性</w:t>
            </w:r>
          </w:p>
        </w:tc>
        <w:tc>
          <w:tcPr>
            <w:tcW w:w="3473" w:type="dxa"/>
            <w:vAlign w:val="center"/>
          </w:tcPr>
          <w:p w14:paraId="2033EC56">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GB/T 8812.1-2007</w:t>
            </w:r>
          </w:p>
        </w:tc>
      </w:tr>
      <w:tr w14:paraId="0EB4A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9B5675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617B835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表观密度偏差</w:t>
            </w:r>
          </w:p>
        </w:tc>
        <w:tc>
          <w:tcPr>
            <w:tcW w:w="3473" w:type="dxa"/>
            <w:vAlign w:val="center"/>
          </w:tcPr>
          <w:p w14:paraId="51559F7D">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GB/T 6343-2009</w:t>
            </w:r>
          </w:p>
        </w:tc>
      </w:tr>
      <w:tr w14:paraId="207C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2C318B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223401A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导热系数</w:t>
            </w:r>
            <w:r>
              <w:rPr>
                <w:rFonts w:hint="eastAsia"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25℃</w:t>
            </w:r>
            <w:r>
              <w:rPr>
                <w:rFonts w:hint="eastAsia" w:cs="Times New Roman"/>
                <w:color w:val="000000" w:themeColor="text1"/>
                <w:szCs w:val="21"/>
                <w:lang w:val="en-US" w:eastAsia="zh-CN"/>
                <w14:textFill>
                  <w14:solidFill>
                    <w14:schemeClr w14:val="tx1"/>
                  </w14:solidFill>
                </w14:textFill>
              </w:rPr>
              <w:t>）</w:t>
            </w:r>
          </w:p>
        </w:tc>
        <w:tc>
          <w:tcPr>
            <w:tcW w:w="3473" w:type="dxa"/>
            <w:vAlign w:val="center"/>
          </w:tcPr>
          <w:p w14:paraId="5E95E6D0">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GB/T 10294-2008</w:t>
            </w:r>
          </w:p>
        </w:tc>
      </w:tr>
      <w:tr w14:paraId="4812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D2707C8">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08D40E06">
            <w:pPr>
              <w:snapToGrid w:val="0"/>
              <w:spacing w:line="440" w:lineRule="exact"/>
              <w:jc w:val="center"/>
              <w:rPr>
                <w:rFonts w:hint="eastAsia" w:eastAsia="宋体"/>
                <w:color w:val="000000"/>
                <w:szCs w:val="21"/>
                <w:vertAlign w:val="baseline"/>
                <w:lang w:val="en-US" w:eastAsia="zh-CN"/>
              </w:rPr>
            </w:pPr>
            <w:r>
              <w:rPr>
                <w:rFonts w:hint="eastAsia" w:ascii="宋体" w:hAnsi="宋体" w:eastAsia="宋体" w:cs="宋体"/>
                <w:spacing w:val="0"/>
                <w:position w:val="0"/>
                <w:sz w:val="21"/>
                <w:szCs w:val="21"/>
              </w:rPr>
              <w:t>规格尺寸及其偏差</w:t>
            </w:r>
            <w:r>
              <w:rPr>
                <w:rFonts w:hint="eastAsia" w:ascii="宋体" w:hAnsi="宋体" w:cs="宋体"/>
                <w:spacing w:val="0"/>
                <w:position w:val="0"/>
                <w:sz w:val="21"/>
                <w:szCs w:val="21"/>
                <w:lang w:eastAsia="zh-CN"/>
              </w:rPr>
              <w:t>（</w:t>
            </w:r>
            <w:r>
              <w:rPr>
                <w:rFonts w:hint="eastAsia" w:ascii="宋体" w:hAnsi="宋体" w:cs="宋体"/>
                <w:spacing w:val="0"/>
                <w:position w:val="0"/>
                <w:sz w:val="21"/>
                <w:szCs w:val="21"/>
                <w:lang w:val="en-US" w:eastAsia="zh-CN"/>
              </w:rPr>
              <w:t>宽度、厚度</w:t>
            </w:r>
            <w:r>
              <w:rPr>
                <w:rFonts w:hint="eastAsia" w:ascii="宋体" w:hAnsi="宋体" w:cs="宋体"/>
                <w:spacing w:val="0"/>
                <w:position w:val="0"/>
                <w:sz w:val="21"/>
                <w:szCs w:val="21"/>
                <w:lang w:eastAsia="zh-CN"/>
              </w:rPr>
              <w:t>）</w:t>
            </w:r>
          </w:p>
        </w:tc>
        <w:tc>
          <w:tcPr>
            <w:tcW w:w="3473" w:type="dxa"/>
            <w:vAlign w:val="center"/>
          </w:tcPr>
          <w:p w14:paraId="4F16150D">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GB/T 6342-1996</w:t>
            </w:r>
          </w:p>
        </w:tc>
      </w:tr>
      <w:tr w14:paraId="6C7C8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A373C6C">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60A433FB">
            <w:pPr>
              <w:snapToGrid w:val="0"/>
              <w:spacing w:line="440" w:lineRule="exact"/>
              <w:jc w:val="center"/>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外观要求</w:t>
            </w:r>
          </w:p>
        </w:tc>
        <w:tc>
          <w:tcPr>
            <w:tcW w:w="3473" w:type="dxa"/>
            <w:vAlign w:val="center"/>
          </w:tcPr>
          <w:p w14:paraId="1BB3E1D5">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GB/T 10801.1-2021</w:t>
            </w:r>
          </w:p>
        </w:tc>
      </w:tr>
      <w:tr w14:paraId="4F798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0B86EF1">
            <w:pPr>
              <w:snapToGrid w:val="0"/>
              <w:spacing w:line="440" w:lineRule="exact"/>
              <w:jc w:val="center"/>
              <w:rPr>
                <w:rFonts w:hint="default"/>
                <w:color w:val="000000"/>
                <w:szCs w:val="21"/>
                <w:vertAlign w:val="baseline"/>
                <w:lang w:val="en-US" w:eastAsia="zh-CN"/>
              </w:rPr>
            </w:pPr>
            <w:r>
              <w:rPr>
                <w:rFonts w:hint="eastAsia"/>
                <w:color w:val="000000"/>
                <w:szCs w:val="21"/>
                <w:vertAlign w:val="baseline"/>
                <w:lang w:val="en-US" w:eastAsia="zh-CN"/>
              </w:rPr>
              <w:t>9</w:t>
            </w:r>
          </w:p>
        </w:tc>
        <w:tc>
          <w:tcPr>
            <w:tcW w:w="4110" w:type="dxa"/>
            <w:vAlign w:val="center"/>
          </w:tcPr>
          <w:p w14:paraId="10D67DE9">
            <w:pPr>
              <w:snapToGrid w:val="0"/>
              <w:spacing w:line="440" w:lineRule="exact"/>
              <w:jc w:val="center"/>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燃烧性能</w:t>
            </w:r>
          </w:p>
        </w:tc>
        <w:tc>
          <w:tcPr>
            <w:tcW w:w="3473" w:type="dxa"/>
            <w:vAlign w:val="center"/>
          </w:tcPr>
          <w:p w14:paraId="1586497B">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GB 8624-2012</w:t>
            </w:r>
          </w:p>
        </w:tc>
      </w:tr>
    </w:tbl>
    <w:p w14:paraId="1642834A">
      <w:pPr>
        <w:snapToGrid w:val="0"/>
        <w:spacing w:line="440" w:lineRule="exact"/>
        <w:jc w:val="both"/>
        <w:rPr>
          <w:rFonts w:hint="default" w:eastAsia="宋体"/>
          <w:color w:val="000000"/>
          <w:szCs w:val="21"/>
          <w:lang w:val="en-US" w:eastAsia="zh-CN"/>
        </w:rPr>
      </w:pPr>
    </w:p>
    <w:p w14:paraId="6DA1283C">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color w:val="000000"/>
          <w:szCs w:val="21"/>
        </w:rPr>
        <w:t xml:space="preserve"> </w:t>
      </w:r>
      <w:r>
        <w:rPr>
          <w:rFonts w:hint="eastAsia"/>
          <w:color w:val="000000"/>
          <w:szCs w:val="21"/>
          <w:lang w:val="en-US" w:eastAsia="zh-CN"/>
        </w:rPr>
        <w:t>(GB/T 10801.2-2018《建筑材料及制品燃烧性能分级》)</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38F8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C7B36">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325DF0FE">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5C74AB4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B1D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405962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4AC528A2">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压缩强度</w:t>
            </w:r>
          </w:p>
        </w:tc>
        <w:tc>
          <w:tcPr>
            <w:tcW w:w="3473" w:type="dxa"/>
            <w:vAlign w:val="center"/>
          </w:tcPr>
          <w:p w14:paraId="54AECD38">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GB/T 8813-2008</w:t>
            </w:r>
          </w:p>
        </w:tc>
      </w:tr>
      <w:tr w14:paraId="2FA7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082836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52478FD7">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吸水率</w:t>
            </w:r>
          </w:p>
        </w:tc>
        <w:tc>
          <w:tcPr>
            <w:tcW w:w="3473" w:type="dxa"/>
            <w:vAlign w:val="center"/>
          </w:tcPr>
          <w:p w14:paraId="51C960BE">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GB/T 8810-2005</w:t>
            </w:r>
          </w:p>
        </w:tc>
      </w:tr>
      <w:tr w14:paraId="5707B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E548FA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5E3FBE09">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导热系数</w:t>
            </w:r>
            <w:r>
              <w:rPr>
                <w:rFonts w:hint="eastAsia"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25℃</w:t>
            </w:r>
            <w:r>
              <w:rPr>
                <w:rFonts w:hint="eastAsia" w:cs="Times New Roman"/>
                <w:color w:val="000000" w:themeColor="text1"/>
                <w:szCs w:val="21"/>
                <w:lang w:val="en-US" w:eastAsia="zh-CN"/>
                <w14:textFill>
                  <w14:solidFill>
                    <w14:schemeClr w14:val="tx1"/>
                  </w14:solidFill>
                </w14:textFill>
              </w:rPr>
              <w:t>）</w:t>
            </w:r>
          </w:p>
        </w:tc>
        <w:tc>
          <w:tcPr>
            <w:tcW w:w="3473" w:type="dxa"/>
            <w:vAlign w:val="center"/>
          </w:tcPr>
          <w:p w14:paraId="798FC986">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GB/T 10294-2008</w:t>
            </w:r>
          </w:p>
        </w:tc>
      </w:tr>
      <w:tr w14:paraId="36BBC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CB4D54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27553625">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尺寸稳定性</w:t>
            </w:r>
          </w:p>
        </w:tc>
        <w:tc>
          <w:tcPr>
            <w:tcW w:w="3473" w:type="dxa"/>
            <w:vAlign w:val="center"/>
          </w:tcPr>
          <w:p w14:paraId="49E991B1">
            <w:pPr>
              <w:snapToGrid w:val="0"/>
              <w:spacing w:line="440" w:lineRule="exact"/>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GB/T 8811-2008</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10801.1-2021 《绝热用模塑聚苯乙烯泡沫塑料(EPS)》</w:t>
      </w:r>
    </w:p>
    <w:p w14:paraId="4FBF4D2E">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8624-2012《建筑材料及制品燃烧性能分级》</w:t>
      </w:r>
    </w:p>
    <w:p w14:paraId="748514A2">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10801.2-2018 《绝热用挤塑聚苯乙烯泡沫塑料(XPS)》</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BD523B3">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0280289"/>
    <w:rsid w:val="01664481"/>
    <w:rsid w:val="03394EB3"/>
    <w:rsid w:val="04333FF8"/>
    <w:rsid w:val="060317A8"/>
    <w:rsid w:val="0D19796D"/>
    <w:rsid w:val="13CC32D4"/>
    <w:rsid w:val="14DC1B42"/>
    <w:rsid w:val="17C074F9"/>
    <w:rsid w:val="1B403722"/>
    <w:rsid w:val="1BBE4697"/>
    <w:rsid w:val="1CF163A7"/>
    <w:rsid w:val="1F424E1F"/>
    <w:rsid w:val="21EE1107"/>
    <w:rsid w:val="25DF3AF4"/>
    <w:rsid w:val="27701672"/>
    <w:rsid w:val="2ACD3FAF"/>
    <w:rsid w:val="2AFF7B61"/>
    <w:rsid w:val="2CB2345D"/>
    <w:rsid w:val="3330332D"/>
    <w:rsid w:val="369B4675"/>
    <w:rsid w:val="37AB5B7E"/>
    <w:rsid w:val="384F4255"/>
    <w:rsid w:val="3AA82343"/>
    <w:rsid w:val="3C9E39FD"/>
    <w:rsid w:val="441D542D"/>
    <w:rsid w:val="44937F9B"/>
    <w:rsid w:val="4721404E"/>
    <w:rsid w:val="478026F7"/>
    <w:rsid w:val="507908EE"/>
    <w:rsid w:val="522E2F34"/>
    <w:rsid w:val="530F7A0D"/>
    <w:rsid w:val="5551190C"/>
    <w:rsid w:val="56A25A40"/>
    <w:rsid w:val="57A31A70"/>
    <w:rsid w:val="595D35AB"/>
    <w:rsid w:val="5A567682"/>
    <w:rsid w:val="5C0748DB"/>
    <w:rsid w:val="5DD31FEA"/>
    <w:rsid w:val="5E4E4E2C"/>
    <w:rsid w:val="5EA66A16"/>
    <w:rsid w:val="625C73EB"/>
    <w:rsid w:val="660364FC"/>
    <w:rsid w:val="684A6664"/>
    <w:rsid w:val="6A7E6BAB"/>
    <w:rsid w:val="6A811342"/>
    <w:rsid w:val="6B8D6C10"/>
    <w:rsid w:val="6E8F6471"/>
    <w:rsid w:val="6F3F1B91"/>
    <w:rsid w:val="702B4DF4"/>
    <w:rsid w:val="72321ACB"/>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1003</Words>
  <Characters>1272</Characters>
  <Lines>0</Lines>
  <Paragraphs>0</Paragraphs>
  <TotalTime>1</TotalTime>
  <ScaleCrop>false</ScaleCrop>
  <LinksUpToDate>false</LinksUpToDate>
  <CharactersWithSpaces>1299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2025-06-06T02:42:05Z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4595B797A0624A7EB5B1F7E18B8216D1_13</vt:lpwstr>
  </property>
  <property fmtid="{D5CDD505-2E9C-101B-9397-08002B2CF9AE}" pid="4" name="KSOTemplateDocerSaveRecord">
    <vt:lpwstr>eyJoZGlkIjoiNWNkZGY4NTNkYTNlZDAyNmJkNzQwY2RmNmEzMmE2NDAiLCJ1c2VySWQiOiIxNDQ1NjU1MDYxIn0=</vt:lpwstr>
  </property>
</Properties>
</file>