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刨花板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w:t>
      </w:r>
      <w:bookmarkStart w:id="0" w:name="_GoBack"/>
      <w:bookmarkEnd w:id="0"/>
      <w:r>
        <w:rPr>
          <w:color w:val="000000"/>
          <w:szCs w:val="21"/>
        </w:rPr>
        <w:t>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8BB0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DD311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06F184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内胶合强度</w:t>
            </w:r>
          </w:p>
        </w:tc>
        <w:tc>
          <w:tcPr>
            <w:tcW w:w="3473" w:type="dxa"/>
            <w:vAlign w:val="center"/>
          </w:tcPr>
          <w:p w14:paraId="1FA673E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51837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7F6E5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868B3C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3A5E9B7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35A73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A18C4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D07102A">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表面胶合强度</w:t>
            </w:r>
          </w:p>
        </w:tc>
        <w:tc>
          <w:tcPr>
            <w:tcW w:w="3473" w:type="dxa"/>
            <w:vAlign w:val="center"/>
          </w:tcPr>
          <w:p w14:paraId="2DB39EB8">
            <w:pPr>
              <w:snapToGrid w:val="0"/>
              <w:spacing w:line="440" w:lineRule="exact"/>
              <w:jc w:val="center"/>
              <w:rPr>
                <w:rFonts w:hint="default"/>
                <w:color w:val="000000"/>
                <w:szCs w:val="21"/>
                <w:vertAlign w:val="baseline"/>
                <w:lang w:val="en-US" w:eastAsia="zh-CN"/>
              </w:rPr>
            </w:pPr>
            <w:r>
              <w:rPr>
                <w:rFonts w:hint="default"/>
                <w:color w:val="000000"/>
                <w:szCs w:val="21"/>
                <w:vertAlign w:val="baseline"/>
                <w:lang w:val="en-US" w:eastAsia="zh-CN"/>
              </w:rPr>
              <w:t>GB/T 17657-2013</w:t>
            </w:r>
          </w:p>
        </w:tc>
      </w:tr>
      <w:tr w14:paraId="7924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7BE40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25776DA">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2h吸水厚度膨胀率</w:t>
            </w:r>
          </w:p>
        </w:tc>
        <w:tc>
          <w:tcPr>
            <w:tcW w:w="3473" w:type="dxa"/>
            <w:vAlign w:val="center"/>
          </w:tcPr>
          <w:p w14:paraId="614450FE">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GB/T 17657-2013</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4897-2015 《刨花板》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4025621">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0A15EEB"/>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600</Words>
  <Characters>618</Characters>
  <Lines>0</Lines>
  <Paragraphs>0</Paragraphs>
  <TotalTime>1</TotalTime>
  <ScaleCrop>false</ScaleCrop>
  <LinksUpToDate>false</LinksUpToDate>
  <CharactersWithSpaces>623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