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7477" w14:textId="77777777" w:rsidR="00A32193" w:rsidRPr="00A32193" w:rsidRDefault="00A32193" w:rsidP="00A32193">
      <w:pPr>
        <w:jc w:val="center"/>
        <w:rPr>
          <w:rFonts w:ascii="仿宋" w:eastAsia="仿宋" w:hAnsi="仿宋" w:hint="eastAsia"/>
          <w:sz w:val="32"/>
          <w:szCs w:val="32"/>
        </w:rPr>
      </w:pPr>
      <w:r w:rsidRPr="00A32193">
        <w:rPr>
          <w:rFonts w:ascii="仿宋" w:eastAsia="仿宋" w:hAnsi="仿宋"/>
          <w:sz w:val="32"/>
          <w:szCs w:val="32"/>
        </w:rPr>
        <w:t>内</w:t>
      </w:r>
      <w:proofErr w:type="gramStart"/>
      <w:r w:rsidRPr="00A32193">
        <w:rPr>
          <w:rFonts w:ascii="仿宋" w:eastAsia="仿宋" w:hAnsi="仿宋"/>
          <w:sz w:val="32"/>
          <w:szCs w:val="32"/>
        </w:rPr>
        <w:t>市监知运字</w:t>
      </w:r>
      <w:proofErr w:type="gramEnd"/>
      <w:r w:rsidRPr="00A32193">
        <w:rPr>
          <w:rFonts w:ascii="仿宋" w:eastAsia="仿宋" w:hAnsi="仿宋"/>
          <w:sz w:val="32"/>
          <w:szCs w:val="32"/>
        </w:rPr>
        <w:t>〔2025〕210号</w:t>
      </w:r>
    </w:p>
    <w:p w14:paraId="6E1BC97F" w14:textId="77777777" w:rsidR="00A32193" w:rsidRDefault="00A32193" w:rsidP="00A32193">
      <w:pPr>
        <w:rPr>
          <w:rFonts w:ascii="仿宋" w:eastAsia="仿宋" w:hAnsi="仿宋" w:hint="eastAsia"/>
          <w:sz w:val="32"/>
          <w:szCs w:val="32"/>
        </w:rPr>
      </w:pPr>
    </w:p>
    <w:p w14:paraId="3F5AD399" w14:textId="632A701C" w:rsidR="00A32193" w:rsidRPr="00A32193" w:rsidRDefault="00A32193" w:rsidP="00A32193">
      <w:pPr>
        <w:jc w:val="center"/>
        <w:rPr>
          <w:rFonts w:ascii="宋体" w:eastAsia="宋体" w:hAnsi="宋体" w:hint="eastAsia"/>
          <w:b/>
          <w:bCs/>
          <w:sz w:val="44"/>
          <w:szCs w:val="44"/>
        </w:rPr>
      </w:pPr>
      <w:r w:rsidRPr="00A32193">
        <w:rPr>
          <w:rFonts w:ascii="宋体" w:eastAsia="宋体" w:hAnsi="宋体" w:hint="eastAsia"/>
          <w:b/>
          <w:bCs/>
          <w:sz w:val="44"/>
          <w:szCs w:val="44"/>
        </w:rPr>
        <w:t>自治区市场监管局知识产权局关于开展</w:t>
      </w:r>
    </w:p>
    <w:p w14:paraId="1A7458B2" w14:textId="77777777" w:rsidR="00A32193" w:rsidRPr="00A32193" w:rsidRDefault="00A32193" w:rsidP="00A32193">
      <w:pPr>
        <w:jc w:val="center"/>
        <w:rPr>
          <w:rFonts w:ascii="宋体" w:eastAsia="宋体" w:hAnsi="宋体" w:hint="eastAsia"/>
          <w:b/>
          <w:bCs/>
          <w:sz w:val="44"/>
          <w:szCs w:val="44"/>
        </w:rPr>
      </w:pPr>
      <w:r w:rsidRPr="00A32193">
        <w:rPr>
          <w:rFonts w:ascii="宋体" w:eastAsia="宋体" w:hAnsi="宋体" w:hint="eastAsia"/>
          <w:b/>
          <w:bCs/>
          <w:sz w:val="44"/>
          <w:szCs w:val="44"/>
        </w:rPr>
        <w:t>2025年度内蒙古自治区知识产权信息</w:t>
      </w:r>
    </w:p>
    <w:p w14:paraId="7C7B5C68" w14:textId="77777777" w:rsidR="00A32193" w:rsidRPr="00A32193" w:rsidRDefault="00A32193" w:rsidP="00A32193">
      <w:pPr>
        <w:jc w:val="center"/>
        <w:rPr>
          <w:rFonts w:ascii="宋体" w:eastAsia="宋体" w:hAnsi="宋体" w:hint="eastAsia"/>
          <w:b/>
          <w:bCs/>
          <w:sz w:val="44"/>
          <w:szCs w:val="44"/>
        </w:rPr>
      </w:pPr>
      <w:r w:rsidRPr="00A32193">
        <w:rPr>
          <w:rFonts w:ascii="宋体" w:eastAsia="宋体" w:hAnsi="宋体" w:hint="eastAsia"/>
          <w:b/>
          <w:bCs/>
          <w:sz w:val="44"/>
          <w:szCs w:val="44"/>
        </w:rPr>
        <w:t>公共服务网点备案工作的通知</w:t>
      </w:r>
    </w:p>
    <w:p w14:paraId="27DA6523" w14:textId="77777777" w:rsidR="00A32193" w:rsidRDefault="00A32193" w:rsidP="00A32193">
      <w:pPr>
        <w:rPr>
          <w:rFonts w:ascii="仿宋" w:eastAsia="仿宋" w:hAnsi="仿宋" w:hint="eastAsia"/>
          <w:sz w:val="32"/>
          <w:szCs w:val="32"/>
        </w:rPr>
      </w:pPr>
    </w:p>
    <w:p w14:paraId="23950761" w14:textId="65D7EE35" w:rsidR="00A32193" w:rsidRPr="00A32193" w:rsidRDefault="00A32193" w:rsidP="00A32193">
      <w:pPr>
        <w:rPr>
          <w:rFonts w:ascii="仿宋" w:eastAsia="仿宋" w:hAnsi="仿宋" w:hint="eastAsia"/>
          <w:sz w:val="32"/>
          <w:szCs w:val="32"/>
        </w:rPr>
      </w:pPr>
      <w:r w:rsidRPr="00A32193">
        <w:rPr>
          <w:rFonts w:ascii="仿宋" w:eastAsia="仿宋" w:hAnsi="仿宋"/>
          <w:sz w:val="32"/>
          <w:szCs w:val="32"/>
        </w:rPr>
        <w:t>各盟市及满洲里市、二连浩特市市场监管局（知识产权局）：</w:t>
      </w:r>
    </w:p>
    <w:p w14:paraId="746F83EE" w14:textId="466851ED"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根据《国家知识产权局办公室关于开展2025年度国家知识产权信息公共服务网点备案工作的通知》（国知</w:t>
      </w:r>
      <w:proofErr w:type="gramStart"/>
      <w:r w:rsidRPr="00A32193">
        <w:rPr>
          <w:rFonts w:ascii="仿宋" w:eastAsia="仿宋" w:hAnsi="仿宋"/>
          <w:sz w:val="32"/>
          <w:szCs w:val="32"/>
        </w:rPr>
        <w:t>办函服字</w:t>
      </w:r>
      <w:proofErr w:type="gramEnd"/>
      <w:r w:rsidRPr="00A32193">
        <w:rPr>
          <w:rFonts w:ascii="仿宋" w:eastAsia="仿宋" w:hAnsi="仿宋"/>
          <w:sz w:val="32"/>
          <w:szCs w:val="32"/>
        </w:rPr>
        <w:t>〔2025〕280号）、《2025年全区知识产权工作要点》（内</w:t>
      </w:r>
      <w:proofErr w:type="gramStart"/>
      <w:r w:rsidRPr="00A32193">
        <w:rPr>
          <w:rFonts w:ascii="仿宋" w:eastAsia="仿宋" w:hAnsi="仿宋"/>
          <w:sz w:val="32"/>
          <w:szCs w:val="32"/>
        </w:rPr>
        <w:t>市监运字</w:t>
      </w:r>
      <w:proofErr w:type="gramEnd"/>
      <w:r w:rsidRPr="00A32193">
        <w:rPr>
          <w:rFonts w:ascii="仿宋" w:eastAsia="仿宋" w:hAnsi="仿宋"/>
          <w:sz w:val="32"/>
          <w:szCs w:val="32"/>
        </w:rPr>
        <w:t>〔2025〕23号）、《内蒙古自治区知识产权信息公共服务网点备案工作指引》（内</w:t>
      </w:r>
      <w:proofErr w:type="gramStart"/>
      <w:r w:rsidRPr="00A32193">
        <w:rPr>
          <w:rFonts w:ascii="仿宋" w:eastAsia="仿宋" w:hAnsi="仿宋"/>
          <w:sz w:val="32"/>
          <w:szCs w:val="32"/>
        </w:rPr>
        <w:t>市监运字</w:t>
      </w:r>
      <w:proofErr w:type="gramEnd"/>
      <w:r w:rsidRPr="00A32193">
        <w:rPr>
          <w:rFonts w:ascii="仿宋" w:eastAsia="仿宋" w:hAnsi="仿宋"/>
          <w:sz w:val="32"/>
          <w:szCs w:val="32"/>
        </w:rPr>
        <w:t>〔2025〕209号）文件要求，自治区市场监管局（知识产权局）决定开展2025年度内蒙古自治区知识产权信息公共服务网点备案工作。现将有关事项通知如下：</w:t>
      </w:r>
    </w:p>
    <w:p w14:paraId="752547E1" w14:textId="77777777" w:rsidR="00A32193" w:rsidRPr="000837D1" w:rsidRDefault="00A32193" w:rsidP="00A32193">
      <w:pPr>
        <w:ind w:firstLineChars="200" w:firstLine="640"/>
        <w:rPr>
          <w:rFonts w:ascii="黑体" w:eastAsia="黑体" w:hAnsi="黑体" w:hint="eastAsia"/>
          <w:sz w:val="32"/>
          <w:szCs w:val="32"/>
        </w:rPr>
      </w:pPr>
      <w:r w:rsidRPr="000837D1">
        <w:rPr>
          <w:rFonts w:ascii="黑体" w:eastAsia="黑体" w:hAnsi="黑体" w:hint="eastAsia"/>
          <w:sz w:val="32"/>
          <w:szCs w:val="32"/>
        </w:rPr>
        <w:t>一、备案主体及条件</w:t>
      </w:r>
    </w:p>
    <w:p w14:paraId="32437DD9"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一）自治区知识产权信息公共服务网点是指面向全区创新主体和社会公众开展知识产权信息公共服务的机构，包括高校、科研机构、科技情报机构、行业组织、生产力促进机构、公共图书馆、博物馆以及相关服务机构等。</w:t>
      </w:r>
    </w:p>
    <w:p w14:paraId="623FB217"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（二）申请备案自治区知识产权信息公共服务网点的服务机构应当具备下列条件:</w:t>
      </w:r>
    </w:p>
    <w:p w14:paraId="40A00867"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lastRenderedPageBreak/>
        <w:t>1.为独立法人单位，拥有专业知识产权信息服务工作团队，配备3名及以上专职人员和若干兼职人员（国家级需5名）。团队人员应熟悉知识产权法律法规和最新政策，掌握知识产权基础业务知识,具备一定的知识产权检索分析能力。</w:t>
      </w:r>
    </w:p>
    <w:p w14:paraId="566F2E69"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2.知识产权信息公共服务工作制度健全,具备针对专利、商标、地理标志等一个或多个知识产权类别开展线上或线下服务的能力,能够充分利用知识产权基础信息资源为创新主体和社会公众提供免费或低成本的知识产权信息公共服务。</w:t>
      </w:r>
    </w:p>
    <w:p w14:paraId="02544791"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3.具有适合开展知识产权信息公共服务的场地、网络环境、硬件设备、系统软件等基础设施,应当具有自建、购买或租用的知识产权数据库和信息检索分析工具等。</w:t>
      </w:r>
    </w:p>
    <w:p w14:paraId="764A3BD9" w14:textId="77777777" w:rsidR="00A32193" w:rsidRPr="000837D1" w:rsidRDefault="00A32193" w:rsidP="00A32193">
      <w:pPr>
        <w:ind w:firstLineChars="200" w:firstLine="640"/>
        <w:rPr>
          <w:rFonts w:ascii="黑体" w:eastAsia="黑体" w:hAnsi="黑体" w:hint="eastAsia"/>
          <w:sz w:val="32"/>
          <w:szCs w:val="32"/>
        </w:rPr>
      </w:pPr>
      <w:r w:rsidRPr="000837D1">
        <w:rPr>
          <w:rFonts w:ascii="黑体" w:eastAsia="黑体" w:hAnsi="黑体" w:hint="eastAsia"/>
          <w:sz w:val="32"/>
          <w:szCs w:val="32"/>
        </w:rPr>
        <w:t>二、备案程序</w:t>
      </w:r>
    </w:p>
    <w:p w14:paraId="6B4D32A2"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（一）提交材料。备案材料包括内蒙古自治区知识产权信息公共服务网点备案表（附件3）和相关工作制度。申请备案服务网点的服务机构应当对备案申请材料的真实性、合法性负责。</w:t>
      </w:r>
    </w:p>
    <w:p w14:paraId="0B9C70D5"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（二）备案申请。各盟市市场监管局（知识产权局）对备案申请材料进行初审，按不少于名额数量要求择优向我局推荐。推荐名额分配表见附件4。</w:t>
      </w:r>
    </w:p>
    <w:p w14:paraId="0BA15826"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（三）名单确认。自治区市场监管局（知识产权局）审核备案材料，对符合备案条件的服务机构进行公示，公示无异议后予以备案并发布名单。</w:t>
      </w:r>
    </w:p>
    <w:p w14:paraId="47BF6932" w14:textId="77777777" w:rsidR="00A32193" w:rsidRPr="000837D1" w:rsidRDefault="00A32193" w:rsidP="00A32193">
      <w:pPr>
        <w:ind w:firstLineChars="200" w:firstLine="640"/>
        <w:rPr>
          <w:rFonts w:ascii="黑体" w:eastAsia="黑体" w:hAnsi="黑体" w:hint="eastAsia"/>
          <w:sz w:val="32"/>
          <w:szCs w:val="32"/>
        </w:rPr>
      </w:pPr>
      <w:r w:rsidRPr="000837D1">
        <w:rPr>
          <w:rFonts w:ascii="黑体" w:eastAsia="黑体" w:hAnsi="黑体" w:hint="eastAsia"/>
          <w:sz w:val="32"/>
          <w:szCs w:val="32"/>
        </w:rPr>
        <w:lastRenderedPageBreak/>
        <w:t>三、工作要求</w:t>
      </w:r>
    </w:p>
    <w:p w14:paraId="15337045"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（一）各盟市市场监管局（知识产权局）要对推荐备案的服务机构严格把关，于</w:t>
      </w:r>
      <w:r w:rsidRPr="00A32193">
        <w:rPr>
          <w:rFonts w:ascii="仿宋" w:eastAsia="仿宋" w:hAnsi="仿宋" w:hint="eastAsia"/>
          <w:sz w:val="32"/>
          <w:szCs w:val="32"/>
        </w:rPr>
        <w:t>2025年5月31日</w:t>
      </w:r>
      <w:r w:rsidRPr="00A32193">
        <w:rPr>
          <w:rFonts w:ascii="仿宋" w:eastAsia="仿宋" w:hAnsi="仿宋"/>
          <w:sz w:val="32"/>
          <w:szCs w:val="32"/>
        </w:rPr>
        <w:t>前将知识产权公共服务机构备案表（附件3）和相关工作制度 word版及加盖公章扫描版（PDF）以“所属市”命名后发送至联系人邮箱。纸质申报材料一式三份报送至自治区市场监管局（知识产权局）进行审核。</w:t>
      </w:r>
    </w:p>
    <w:p w14:paraId="0C881E40" w14:textId="2B1BDCFF"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（二）已备案为世界知识产权组织技术与创新支持中心（TISC）、高校国家知识产权信息服务中心、国家知识产权信息公共服务网点均不参与本次备案申请。</w:t>
      </w:r>
    </w:p>
    <w:p w14:paraId="5CFD3239"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（三）自治区市场监管局（知识产权局）将对备案材料进行审核，遴选20家自治区知识产权公共服务网点进行备案，择优向国家知识产权局推荐4家服务机构。</w:t>
      </w:r>
    </w:p>
    <w:p w14:paraId="787C9EA7" w14:textId="77777777"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联系人及电话：罗</w:t>
      </w:r>
      <w:r w:rsidRPr="00A32193">
        <w:rPr>
          <w:rFonts w:ascii="Calibri" w:eastAsia="仿宋" w:hAnsi="Calibri" w:cs="Calibri"/>
          <w:sz w:val="32"/>
          <w:szCs w:val="32"/>
        </w:rPr>
        <w:t> </w:t>
      </w:r>
      <w:r w:rsidRPr="00A32193">
        <w:rPr>
          <w:rFonts w:ascii="仿宋" w:eastAsia="仿宋" w:hAnsi="仿宋"/>
          <w:sz w:val="32"/>
          <w:szCs w:val="32"/>
        </w:rPr>
        <w:t>京</w:t>
      </w:r>
      <w:r w:rsidRPr="00A32193">
        <w:rPr>
          <w:rFonts w:ascii="Calibri" w:eastAsia="仿宋" w:hAnsi="Calibri" w:cs="Calibri"/>
          <w:sz w:val="32"/>
          <w:szCs w:val="32"/>
        </w:rPr>
        <w:t> </w:t>
      </w:r>
      <w:r w:rsidRPr="00A32193">
        <w:rPr>
          <w:rFonts w:ascii="仿宋" w:eastAsia="仿宋" w:hAnsi="仿宋"/>
          <w:sz w:val="32"/>
          <w:szCs w:val="32"/>
        </w:rPr>
        <w:t>0471—6385195</w:t>
      </w:r>
    </w:p>
    <w:p w14:paraId="1874C35E" w14:textId="37038B6D"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电子邮箱：nmgluojing@163.com</w:t>
      </w:r>
    </w:p>
    <w:p w14:paraId="523A4D38" w14:textId="2CF47AC9"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地</w:t>
      </w:r>
      <w:r w:rsidRPr="00A32193">
        <w:rPr>
          <w:rFonts w:ascii="Calibri" w:eastAsia="仿宋" w:hAnsi="Calibri" w:cs="Calibri"/>
          <w:sz w:val="32"/>
          <w:szCs w:val="32"/>
        </w:rPr>
        <w:t>  </w:t>
      </w:r>
      <w:r w:rsidRPr="00A32193">
        <w:rPr>
          <w:rFonts w:ascii="仿宋" w:eastAsia="仿宋" w:hAnsi="仿宋"/>
          <w:sz w:val="32"/>
          <w:szCs w:val="32"/>
        </w:rPr>
        <w:t>址：呼和浩特市金桥开发区世纪四路自治区市场监管局715室</w:t>
      </w:r>
    </w:p>
    <w:p w14:paraId="28FBFE7A" w14:textId="77777777" w:rsidR="00A32193" w:rsidRDefault="00A32193" w:rsidP="00A32193">
      <w:pPr>
        <w:rPr>
          <w:rFonts w:ascii="仿宋" w:eastAsia="仿宋" w:hAnsi="仿宋" w:hint="eastAsia"/>
          <w:sz w:val="32"/>
          <w:szCs w:val="32"/>
        </w:rPr>
      </w:pPr>
    </w:p>
    <w:p w14:paraId="2798EC7F" w14:textId="2797102D"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附件:1.国家知识产权局办公室关于开展2025年度国家知识产权信息公共服务网点备案工作的通知</w:t>
      </w:r>
    </w:p>
    <w:p w14:paraId="406C4929" w14:textId="6A54C60E"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2.内蒙古自治区知识产权信息公共服务网点备案工作指引</w:t>
      </w:r>
    </w:p>
    <w:p w14:paraId="153F762D" w14:textId="77777777" w:rsidR="00A32193" w:rsidRPr="00A32193" w:rsidRDefault="00A32193" w:rsidP="00A32193">
      <w:pPr>
        <w:rPr>
          <w:rFonts w:ascii="仿宋" w:eastAsia="仿宋" w:hAnsi="仿宋" w:hint="eastAsia"/>
          <w:sz w:val="32"/>
          <w:szCs w:val="32"/>
        </w:rPr>
      </w:pPr>
      <w:r w:rsidRPr="00A32193">
        <w:rPr>
          <w:rFonts w:ascii="Calibri" w:eastAsia="仿宋" w:hAnsi="Calibri" w:cs="Calibri"/>
          <w:sz w:val="32"/>
          <w:szCs w:val="32"/>
        </w:rPr>
        <w:lastRenderedPageBreak/>
        <w:t>      </w:t>
      </w:r>
      <w:r w:rsidRPr="00A32193">
        <w:rPr>
          <w:rFonts w:ascii="仿宋" w:eastAsia="仿宋" w:hAnsi="仿宋"/>
          <w:sz w:val="32"/>
          <w:szCs w:val="32"/>
        </w:rPr>
        <w:t>3.内蒙古自治区知识产权信息公共服务网点备案表</w:t>
      </w:r>
    </w:p>
    <w:p w14:paraId="3EA54C61" w14:textId="77777777" w:rsidR="00A32193" w:rsidRPr="00A32193" w:rsidRDefault="00A32193" w:rsidP="00A32193">
      <w:pPr>
        <w:rPr>
          <w:rFonts w:ascii="仿宋" w:eastAsia="仿宋" w:hAnsi="仿宋" w:hint="eastAsia"/>
          <w:sz w:val="32"/>
          <w:szCs w:val="32"/>
        </w:rPr>
      </w:pPr>
      <w:r w:rsidRPr="00A32193">
        <w:rPr>
          <w:rFonts w:ascii="Calibri" w:eastAsia="仿宋" w:hAnsi="Calibri" w:cs="Calibri"/>
          <w:sz w:val="32"/>
          <w:szCs w:val="32"/>
        </w:rPr>
        <w:t>      </w:t>
      </w:r>
      <w:r w:rsidRPr="00A32193">
        <w:rPr>
          <w:rFonts w:ascii="仿宋" w:eastAsia="仿宋" w:hAnsi="仿宋"/>
          <w:sz w:val="32"/>
          <w:szCs w:val="32"/>
        </w:rPr>
        <w:t>4.名额分配表</w:t>
      </w:r>
    </w:p>
    <w:p w14:paraId="77895043" w14:textId="77777777" w:rsidR="00A32193" w:rsidRDefault="00A32193" w:rsidP="00A32193">
      <w:pPr>
        <w:rPr>
          <w:rFonts w:ascii="仿宋" w:eastAsia="仿宋" w:hAnsi="仿宋" w:hint="eastAsia"/>
          <w:sz w:val="32"/>
          <w:szCs w:val="32"/>
        </w:rPr>
      </w:pPr>
    </w:p>
    <w:p w14:paraId="47EAA31B" w14:textId="77777777" w:rsidR="00A32193" w:rsidRDefault="00A32193" w:rsidP="00A32193">
      <w:pPr>
        <w:rPr>
          <w:rFonts w:ascii="仿宋" w:eastAsia="仿宋" w:hAnsi="仿宋" w:hint="eastAsia"/>
          <w:sz w:val="32"/>
          <w:szCs w:val="32"/>
        </w:rPr>
      </w:pPr>
    </w:p>
    <w:p w14:paraId="666FE945" w14:textId="5063F643" w:rsidR="00A32193" w:rsidRPr="00A32193" w:rsidRDefault="00A32193" w:rsidP="00A32193">
      <w:pPr>
        <w:rPr>
          <w:rFonts w:ascii="仿宋" w:eastAsia="仿宋" w:hAnsi="仿宋" w:hint="eastAsia"/>
          <w:sz w:val="32"/>
          <w:szCs w:val="32"/>
        </w:rPr>
      </w:pPr>
      <w:r w:rsidRPr="00A32193">
        <w:rPr>
          <w:rFonts w:ascii="仿宋" w:eastAsia="仿宋" w:hAnsi="仿宋"/>
          <w:sz w:val="32"/>
          <w:szCs w:val="32"/>
        </w:rPr>
        <w:t>内蒙古自治区市场监督管理局</w:t>
      </w:r>
      <w:r>
        <w:rPr>
          <w:rFonts w:ascii="仿宋" w:eastAsia="仿宋" w:hAnsi="仿宋" w:hint="eastAsia"/>
          <w:sz w:val="32"/>
          <w:szCs w:val="32"/>
        </w:rPr>
        <w:t xml:space="preserve">   </w:t>
      </w:r>
      <w:r w:rsidRPr="00A32193">
        <w:rPr>
          <w:rFonts w:ascii="仿宋" w:eastAsia="仿宋" w:hAnsi="仿宋"/>
          <w:sz w:val="32"/>
          <w:szCs w:val="32"/>
        </w:rPr>
        <w:t>内蒙古自治区知识产权局</w:t>
      </w:r>
    </w:p>
    <w:p w14:paraId="45E10E26" w14:textId="77777777" w:rsidR="00A32193" w:rsidRDefault="00A32193" w:rsidP="00A32193">
      <w:pPr>
        <w:ind w:firstLineChars="1600" w:firstLine="5120"/>
        <w:rPr>
          <w:rFonts w:ascii="Calibri" w:eastAsia="仿宋" w:hAnsi="Calibri" w:cs="Calibri"/>
          <w:sz w:val="32"/>
          <w:szCs w:val="32"/>
        </w:rPr>
      </w:pPr>
      <w:r w:rsidRPr="00A32193">
        <w:rPr>
          <w:rFonts w:ascii="Calibri" w:eastAsia="仿宋" w:hAnsi="Calibri" w:cs="Calibri"/>
          <w:sz w:val="32"/>
          <w:szCs w:val="32"/>
        </w:rPr>
        <w:t> </w:t>
      </w:r>
      <w:r w:rsidRPr="00A32193">
        <w:rPr>
          <w:rFonts w:ascii="仿宋" w:eastAsia="仿宋" w:hAnsi="仿宋"/>
          <w:sz w:val="32"/>
          <w:szCs w:val="32"/>
        </w:rPr>
        <w:t>2025年5月10日</w:t>
      </w:r>
      <w:r w:rsidRPr="00A32193">
        <w:rPr>
          <w:rFonts w:ascii="Calibri" w:eastAsia="仿宋" w:hAnsi="Calibri" w:cs="Calibri"/>
          <w:sz w:val="32"/>
          <w:szCs w:val="32"/>
        </w:rPr>
        <w:t> </w:t>
      </w:r>
    </w:p>
    <w:p w14:paraId="4CF73965" w14:textId="3D2B08F6" w:rsidR="00A32193" w:rsidRPr="00A32193" w:rsidRDefault="00A32193" w:rsidP="00A32193">
      <w:pPr>
        <w:ind w:firstLineChars="200" w:firstLine="640"/>
        <w:rPr>
          <w:rFonts w:ascii="仿宋" w:eastAsia="仿宋" w:hAnsi="仿宋" w:hint="eastAsia"/>
          <w:sz w:val="32"/>
          <w:szCs w:val="32"/>
        </w:rPr>
      </w:pPr>
      <w:r w:rsidRPr="00A32193">
        <w:rPr>
          <w:rFonts w:ascii="仿宋" w:eastAsia="仿宋" w:hAnsi="仿宋"/>
          <w:sz w:val="32"/>
          <w:szCs w:val="32"/>
        </w:rPr>
        <w:t>（此件主动公开）</w:t>
      </w:r>
    </w:p>
    <w:p w14:paraId="172C279D" w14:textId="77777777" w:rsidR="00F12650" w:rsidRPr="00A32193" w:rsidRDefault="00F12650">
      <w:pPr>
        <w:rPr>
          <w:rFonts w:ascii="仿宋" w:eastAsia="仿宋" w:hAnsi="仿宋" w:hint="eastAsia"/>
          <w:sz w:val="32"/>
          <w:szCs w:val="32"/>
        </w:rPr>
      </w:pPr>
    </w:p>
    <w:sectPr w:rsidR="00F12650" w:rsidRPr="00A32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705A" w14:textId="77777777" w:rsidR="00A32193" w:rsidRDefault="00A32193" w:rsidP="00A32193">
      <w:pPr>
        <w:rPr>
          <w:rFonts w:hint="eastAsia"/>
        </w:rPr>
      </w:pPr>
      <w:r>
        <w:separator/>
      </w:r>
    </w:p>
  </w:endnote>
  <w:endnote w:type="continuationSeparator" w:id="0">
    <w:p w14:paraId="120D0A58" w14:textId="77777777" w:rsidR="00A32193" w:rsidRDefault="00A32193" w:rsidP="00A321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D317" w14:textId="77777777" w:rsidR="00A32193" w:rsidRDefault="00A32193" w:rsidP="00A32193">
      <w:pPr>
        <w:rPr>
          <w:rFonts w:hint="eastAsia"/>
        </w:rPr>
      </w:pPr>
      <w:r>
        <w:separator/>
      </w:r>
    </w:p>
  </w:footnote>
  <w:footnote w:type="continuationSeparator" w:id="0">
    <w:p w14:paraId="51182988" w14:textId="77777777" w:rsidR="00A32193" w:rsidRDefault="00A32193" w:rsidP="00A3219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F3"/>
    <w:rsid w:val="000837D1"/>
    <w:rsid w:val="00386036"/>
    <w:rsid w:val="00A22652"/>
    <w:rsid w:val="00A32193"/>
    <w:rsid w:val="00BB3BC8"/>
    <w:rsid w:val="00D746C1"/>
    <w:rsid w:val="00F12650"/>
    <w:rsid w:val="00F8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85ED2"/>
  <w15:chartTrackingRefBased/>
  <w15:docId w15:val="{8693ECD2-B738-493E-8DF4-1266DA59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3A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83A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83A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83A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83AF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83AF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83A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A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83AF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A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83A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83A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83AF3"/>
    <w:rPr>
      <w:rFonts w:cstheme="majorBidi"/>
      <w:color w:val="0F4761" w:themeColor="accent1" w:themeShade="BF"/>
      <w:sz w:val="28"/>
      <w:szCs w:val="28"/>
    </w:rPr>
  </w:style>
  <w:style w:type="character" w:customStyle="1" w:styleId="50">
    <w:name w:val="标题 5 字符"/>
    <w:basedOn w:val="a0"/>
    <w:link w:val="5"/>
    <w:uiPriority w:val="9"/>
    <w:semiHidden/>
    <w:rsid w:val="00F83AF3"/>
    <w:rPr>
      <w:rFonts w:cstheme="majorBidi"/>
      <w:color w:val="0F4761" w:themeColor="accent1" w:themeShade="BF"/>
      <w:sz w:val="24"/>
      <w:szCs w:val="24"/>
    </w:rPr>
  </w:style>
  <w:style w:type="character" w:customStyle="1" w:styleId="60">
    <w:name w:val="标题 6 字符"/>
    <w:basedOn w:val="a0"/>
    <w:link w:val="6"/>
    <w:uiPriority w:val="9"/>
    <w:semiHidden/>
    <w:rsid w:val="00F83AF3"/>
    <w:rPr>
      <w:rFonts w:cstheme="majorBidi"/>
      <w:b/>
      <w:bCs/>
      <w:color w:val="0F4761" w:themeColor="accent1" w:themeShade="BF"/>
    </w:rPr>
  </w:style>
  <w:style w:type="character" w:customStyle="1" w:styleId="70">
    <w:name w:val="标题 7 字符"/>
    <w:basedOn w:val="a0"/>
    <w:link w:val="7"/>
    <w:uiPriority w:val="9"/>
    <w:semiHidden/>
    <w:rsid w:val="00F83AF3"/>
    <w:rPr>
      <w:rFonts w:cstheme="majorBidi"/>
      <w:b/>
      <w:bCs/>
      <w:color w:val="595959" w:themeColor="text1" w:themeTint="A6"/>
    </w:rPr>
  </w:style>
  <w:style w:type="character" w:customStyle="1" w:styleId="80">
    <w:name w:val="标题 8 字符"/>
    <w:basedOn w:val="a0"/>
    <w:link w:val="8"/>
    <w:uiPriority w:val="9"/>
    <w:semiHidden/>
    <w:rsid w:val="00F83AF3"/>
    <w:rPr>
      <w:rFonts w:cstheme="majorBidi"/>
      <w:color w:val="595959" w:themeColor="text1" w:themeTint="A6"/>
    </w:rPr>
  </w:style>
  <w:style w:type="character" w:customStyle="1" w:styleId="90">
    <w:name w:val="标题 9 字符"/>
    <w:basedOn w:val="a0"/>
    <w:link w:val="9"/>
    <w:uiPriority w:val="9"/>
    <w:semiHidden/>
    <w:rsid w:val="00F83AF3"/>
    <w:rPr>
      <w:rFonts w:eastAsiaTheme="majorEastAsia" w:cstheme="majorBidi"/>
      <w:color w:val="595959" w:themeColor="text1" w:themeTint="A6"/>
    </w:rPr>
  </w:style>
  <w:style w:type="paragraph" w:styleId="a3">
    <w:name w:val="Title"/>
    <w:basedOn w:val="a"/>
    <w:next w:val="a"/>
    <w:link w:val="a4"/>
    <w:uiPriority w:val="10"/>
    <w:qFormat/>
    <w:rsid w:val="00F83A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A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AF3"/>
    <w:pPr>
      <w:spacing w:before="160" w:after="160"/>
      <w:jc w:val="center"/>
    </w:pPr>
    <w:rPr>
      <w:i/>
      <w:iCs/>
      <w:color w:val="404040" w:themeColor="text1" w:themeTint="BF"/>
    </w:rPr>
  </w:style>
  <w:style w:type="character" w:customStyle="1" w:styleId="a8">
    <w:name w:val="引用 字符"/>
    <w:basedOn w:val="a0"/>
    <w:link w:val="a7"/>
    <w:uiPriority w:val="29"/>
    <w:rsid w:val="00F83AF3"/>
    <w:rPr>
      <w:i/>
      <w:iCs/>
      <w:color w:val="404040" w:themeColor="text1" w:themeTint="BF"/>
    </w:rPr>
  </w:style>
  <w:style w:type="paragraph" w:styleId="a9">
    <w:name w:val="List Paragraph"/>
    <w:basedOn w:val="a"/>
    <w:uiPriority w:val="34"/>
    <w:qFormat/>
    <w:rsid w:val="00F83AF3"/>
    <w:pPr>
      <w:ind w:left="720"/>
      <w:contextualSpacing/>
    </w:pPr>
  </w:style>
  <w:style w:type="character" w:styleId="aa">
    <w:name w:val="Intense Emphasis"/>
    <w:basedOn w:val="a0"/>
    <w:uiPriority w:val="21"/>
    <w:qFormat/>
    <w:rsid w:val="00F83AF3"/>
    <w:rPr>
      <w:i/>
      <w:iCs/>
      <w:color w:val="0F4761" w:themeColor="accent1" w:themeShade="BF"/>
    </w:rPr>
  </w:style>
  <w:style w:type="paragraph" w:styleId="ab">
    <w:name w:val="Intense Quote"/>
    <w:basedOn w:val="a"/>
    <w:next w:val="a"/>
    <w:link w:val="ac"/>
    <w:uiPriority w:val="30"/>
    <w:qFormat/>
    <w:rsid w:val="00F83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83AF3"/>
    <w:rPr>
      <w:i/>
      <w:iCs/>
      <w:color w:val="0F4761" w:themeColor="accent1" w:themeShade="BF"/>
    </w:rPr>
  </w:style>
  <w:style w:type="character" w:styleId="ad">
    <w:name w:val="Intense Reference"/>
    <w:basedOn w:val="a0"/>
    <w:uiPriority w:val="32"/>
    <w:qFormat/>
    <w:rsid w:val="00F83AF3"/>
    <w:rPr>
      <w:b/>
      <w:bCs/>
      <w:smallCaps/>
      <w:color w:val="0F4761" w:themeColor="accent1" w:themeShade="BF"/>
      <w:spacing w:val="5"/>
    </w:rPr>
  </w:style>
  <w:style w:type="paragraph" w:styleId="ae">
    <w:name w:val="header"/>
    <w:basedOn w:val="a"/>
    <w:link w:val="af"/>
    <w:uiPriority w:val="99"/>
    <w:unhideWhenUsed/>
    <w:rsid w:val="00A32193"/>
    <w:pPr>
      <w:tabs>
        <w:tab w:val="center" w:pos="4153"/>
        <w:tab w:val="right" w:pos="8306"/>
      </w:tabs>
      <w:snapToGrid w:val="0"/>
      <w:jc w:val="center"/>
    </w:pPr>
    <w:rPr>
      <w:sz w:val="18"/>
      <w:szCs w:val="18"/>
    </w:rPr>
  </w:style>
  <w:style w:type="character" w:customStyle="1" w:styleId="af">
    <w:name w:val="页眉 字符"/>
    <w:basedOn w:val="a0"/>
    <w:link w:val="ae"/>
    <w:uiPriority w:val="99"/>
    <w:rsid w:val="00A32193"/>
    <w:rPr>
      <w:sz w:val="18"/>
      <w:szCs w:val="18"/>
    </w:rPr>
  </w:style>
  <w:style w:type="paragraph" w:styleId="af0">
    <w:name w:val="footer"/>
    <w:basedOn w:val="a"/>
    <w:link w:val="af1"/>
    <w:uiPriority w:val="99"/>
    <w:unhideWhenUsed/>
    <w:rsid w:val="00A32193"/>
    <w:pPr>
      <w:tabs>
        <w:tab w:val="center" w:pos="4153"/>
        <w:tab w:val="right" w:pos="8306"/>
      </w:tabs>
      <w:snapToGrid w:val="0"/>
      <w:jc w:val="left"/>
    </w:pPr>
    <w:rPr>
      <w:sz w:val="18"/>
      <w:szCs w:val="18"/>
    </w:rPr>
  </w:style>
  <w:style w:type="character" w:customStyle="1" w:styleId="af1">
    <w:name w:val="页脚 字符"/>
    <w:basedOn w:val="a0"/>
    <w:link w:val="af0"/>
    <w:uiPriority w:val="99"/>
    <w:rsid w:val="00A32193"/>
    <w:rPr>
      <w:sz w:val="18"/>
      <w:szCs w:val="18"/>
    </w:rPr>
  </w:style>
  <w:style w:type="paragraph" w:styleId="af2">
    <w:name w:val="Date"/>
    <w:basedOn w:val="a"/>
    <w:next w:val="a"/>
    <w:link w:val="af3"/>
    <w:uiPriority w:val="99"/>
    <w:semiHidden/>
    <w:unhideWhenUsed/>
    <w:rsid w:val="00A32193"/>
    <w:pPr>
      <w:ind w:leftChars="2500" w:left="100"/>
    </w:pPr>
  </w:style>
  <w:style w:type="character" w:customStyle="1" w:styleId="af3">
    <w:name w:val="日期 字符"/>
    <w:basedOn w:val="a0"/>
    <w:link w:val="af2"/>
    <w:uiPriority w:val="99"/>
    <w:semiHidden/>
    <w:rsid w:val="00A3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299">
      <w:bodyDiv w:val="1"/>
      <w:marLeft w:val="0"/>
      <w:marRight w:val="0"/>
      <w:marTop w:val="0"/>
      <w:marBottom w:val="0"/>
      <w:divBdr>
        <w:top w:val="none" w:sz="0" w:space="0" w:color="auto"/>
        <w:left w:val="none" w:sz="0" w:space="0" w:color="auto"/>
        <w:bottom w:val="none" w:sz="0" w:space="0" w:color="auto"/>
        <w:right w:val="none" w:sz="0" w:space="0" w:color="auto"/>
      </w:divBdr>
    </w:div>
    <w:div w:id="1149709329">
      <w:bodyDiv w:val="1"/>
      <w:marLeft w:val="0"/>
      <w:marRight w:val="0"/>
      <w:marTop w:val="0"/>
      <w:marBottom w:val="0"/>
      <w:divBdr>
        <w:top w:val="none" w:sz="0" w:space="0" w:color="auto"/>
        <w:left w:val="none" w:sz="0" w:space="0" w:color="auto"/>
        <w:bottom w:val="none" w:sz="0" w:space="0" w:color="auto"/>
        <w:right w:val="none" w:sz="0" w:space="0" w:color="auto"/>
      </w:divBdr>
    </w:div>
    <w:div w:id="1258051845">
      <w:bodyDiv w:val="1"/>
      <w:marLeft w:val="0"/>
      <w:marRight w:val="0"/>
      <w:marTop w:val="0"/>
      <w:marBottom w:val="0"/>
      <w:divBdr>
        <w:top w:val="none" w:sz="0" w:space="0" w:color="auto"/>
        <w:left w:val="none" w:sz="0" w:space="0" w:color="auto"/>
        <w:bottom w:val="none" w:sz="0" w:space="0" w:color="auto"/>
        <w:right w:val="none" w:sz="0" w:space="0" w:color="auto"/>
      </w:divBdr>
    </w:div>
    <w:div w:id="1575973062">
      <w:bodyDiv w:val="1"/>
      <w:marLeft w:val="0"/>
      <w:marRight w:val="0"/>
      <w:marTop w:val="0"/>
      <w:marBottom w:val="0"/>
      <w:divBdr>
        <w:top w:val="none" w:sz="0" w:space="0" w:color="auto"/>
        <w:left w:val="none" w:sz="0" w:space="0" w:color="auto"/>
        <w:bottom w:val="none" w:sz="0" w:space="0" w:color="auto"/>
        <w:right w:val="none" w:sz="0" w:space="0" w:color="auto"/>
      </w:divBdr>
    </w:div>
    <w:div w:id="1646548150">
      <w:bodyDiv w:val="1"/>
      <w:marLeft w:val="0"/>
      <w:marRight w:val="0"/>
      <w:marTop w:val="0"/>
      <w:marBottom w:val="0"/>
      <w:divBdr>
        <w:top w:val="none" w:sz="0" w:space="0" w:color="auto"/>
        <w:left w:val="none" w:sz="0" w:space="0" w:color="auto"/>
        <w:bottom w:val="none" w:sz="0" w:space="0" w:color="auto"/>
        <w:right w:val="none" w:sz="0" w:space="0" w:color="auto"/>
      </w:divBdr>
    </w:div>
    <w:div w:id="1846245840">
      <w:bodyDiv w:val="1"/>
      <w:marLeft w:val="0"/>
      <w:marRight w:val="0"/>
      <w:marTop w:val="0"/>
      <w:marBottom w:val="0"/>
      <w:divBdr>
        <w:top w:val="none" w:sz="0" w:space="0" w:color="auto"/>
        <w:left w:val="none" w:sz="0" w:space="0" w:color="auto"/>
        <w:bottom w:val="none" w:sz="0" w:space="0" w:color="auto"/>
        <w:right w:val="none" w:sz="0" w:space="0" w:color="auto"/>
      </w:divBdr>
    </w:div>
    <w:div w:id="1862740784">
      <w:bodyDiv w:val="1"/>
      <w:marLeft w:val="0"/>
      <w:marRight w:val="0"/>
      <w:marTop w:val="0"/>
      <w:marBottom w:val="0"/>
      <w:divBdr>
        <w:top w:val="none" w:sz="0" w:space="0" w:color="auto"/>
        <w:left w:val="none" w:sz="0" w:space="0" w:color="auto"/>
        <w:bottom w:val="none" w:sz="0" w:space="0" w:color="auto"/>
        <w:right w:val="none" w:sz="0" w:space="0" w:color="auto"/>
      </w:divBdr>
    </w:div>
    <w:div w:id="19712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1353</Words>
  <Characters>146</Characters>
  <Application>Microsoft Office Word</Application>
  <DocSecurity>0</DocSecurity>
  <Lines>7</Lines>
  <Paragraphs>30</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2025-05-14T10:17:00Z</dcterms:created>
  <dcterms:modified xsi:type="dcterms:W3CDTF">2025-05-14T10:34:00Z</dcterms:modified>
</cp:coreProperties>
</file>