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Batang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呼和浩特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市地方标准项目建议书</w:t>
      </w:r>
    </w:p>
    <w:tbl>
      <w:tblPr>
        <w:tblStyle w:val="5"/>
        <w:tblW w:w="9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078"/>
        <w:gridCol w:w="837"/>
        <w:gridCol w:w="1786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pacing w:val="-10"/>
                <w:sz w:val="24"/>
              </w:rPr>
            </w:pPr>
            <w:r>
              <w:rPr>
                <w:rFonts w:hint="eastAsia" w:hAnsi="仿宋" w:cs="仿宋"/>
                <w:spacing w:val="-10"/>
                <w:sz w:val="24"/>
              </w:rPr>
              <w:t>项目名称（中文）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pacing w:val="-10"/>
                <w:sz w:val="24"/>
              </w:rPr>
            </w:pPr>
            <w:r>
              <w:rPr>
                <w:rFonts w:hint="eastAsia" w:hAnsi="仿宋" w:cs="仿宋"/>
                <w:spacing w:val="-10"/>
                <w:sz w:val="24"/>
              </w:rPr>
              <w:t>项目名称（英文）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制定或修订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□</w:t>
            </w:r>
            <w:r>
              <w:rPr>
                <w:rFonts w:hint="eastAsia" w:hAnsi="仿宋" w:cs="仿宋"/>
                <w:sz w:val="24"/>
              </w:rPr>
              <w:t>制定  □修订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被修订标准号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标准性质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仿宋" w:cs="仿宋"/>
                <w:sz w:val="24"/>
              </w:rPr>
              <w:t>推荐性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完成时限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涉及领域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□工业    □农业    □服务业    □社会事业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采用国际标准情况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采用程度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 xml:space="preserve">□等同 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仿宋" w:cs="仿宋"/>
                <w:sz w:val="24"/>
              </w:rPr>
              <w:t>□修改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仿宋" w:cs="仿宋"/>
                <w:sz w:val="24"/>
                <w:lang w:eastAsia="zh-CN"/>
              </w:rPr>
              <w:t>□</w:t>
            </w:r>
            <w:r>
              <w:rPr>
                <w:rFonts w:hint="eastAsia" w:hAnsi="仿宋" w:cs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采用何种标准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□ISO □IEC □ITU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采用国际标准号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采用国际标准名称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科技创新</w:t>
            </w:r>
          </w:p>
          <w:p>
            <w:pPr>
              <w:widowControl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成果转化情况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项目类别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□国家科研项目 □自治区科研项目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仿宋" w:cs="仿宋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项目名称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项目编号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项目下达单位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4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专利情况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是否涉及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专利名称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专利号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2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仿宋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专利所有人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姓名：</w:t>
            </w:r>
          </w:p>
          <w:p>
            <w:pPr>
              <w:spacing w:line="44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电话：</w:t>
            </w:r>
          </w:p>
          <w:p>
            <w:pPr>
              <w:spacing w:line="44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项目承担单位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单位名称：</w:t>
            </w:r>
          </w:p>
          <w:p>
            <w:pPr>
              <w:spacing w:line="44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项目负责人：</w:t>
            </w:r>
          </w:p>
          <w:p>
            <w:pPr>
              <w:spacing w:line="44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电话：</w:t>
            </w:r>
          </w:p>
          <w:p>
            <w:pPr>
              <w:spacing w:line="44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邮箱：</w:t>
            </w:r>
          </w:p>
          <w:p>
            <w:pPr>
              <w:spacing w:line="44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项目参与单位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技术归口单位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必要性分析（800字以上）：</w:t>
            </w:r>
          </w:p>
          <w:p>
            <w:pPr>
              <w:spacing w:line="44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可行性分析（800字以上）：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预期效益（社会、经济、生态）（500左右）：</w:t>
            </w:r>
          </w:p>
          <w:p>
            <w:pPr>
              <w:spacing w:line="440" w:lineRule="exact"/>
              <w:rPr>
                <w:rFonts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适用范围和主要技术内容：</w:t>
            </w:r>
          </w:p>
          <w:p>
            <w:pPr>
              <w:spacing w:line="44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技术内容的先进性、创新性情况：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Ansi="仿宋"/>
              </w:rPr>
            </w:pPr>
            <w:r>
              <w:rPr>
                <w:rFonts w:hint="eastAsia" w:hAnsi="仿宋" w:cs="仿宋"/>
                <w:sz w:val="24"/>
              </w:rPr>
              <w:t>国内外情况简要说明：（呼伦贝尔市--产业化情况、国内技术状况，国际或国外、其他省市有哪些同类标准？）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基本思路、工作计划、保障措施：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与相关部门、相关行业协调的情况及意见（需要提供相关证明资料）：</w:t>
            </w:r>
          </w:p>
          <w:p>
            <w:pPr>
              <w:spacing w:line="360" w:lineRule="exact"/>
              <w:rPr>
                <w:rFonts w:hAnsi="仿宋"/>
                <w:sz w:val="24"/>
              </w:rPr>
            </w:pPr>
          </w:p>
          <w:p>
            <w:pPr>
              <w:spacing w:line="3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有关研究基础和前期研究成果（800字以上，需要提供相关证明资料）：</w:t>
            </w:r>
          </w:p>
          <w:p>
            <w:pPr>
              <w:spacing w:line="360" w:lineRule="exact"/>
              <w:rPr>
                <w:rFonts w:hAnsi="仿宋" w:cs="仿宋"/>
                <w:sz w:val="24"/>
              </w:rPr>
            </w:pPr>
          </w:p>
          <w:p>
            <w:pPr>
              <w:spacing w:line="3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必要的试验验证数据及统计分析（需要提供相关证明资料）：</w:t>
            </w:r>
          </w:p>
          <w:p>
            <w:pPr>
              <w:spacing w:line="360" w:lineRule="exact"/>
              <w:rPr>
                <w:rFonts w:hAnsi="仿宋" w:cs="仿宋"/>
                <w:sz w:val="24"/>
              </w:rPr>
            </w:pPr>
          </w:p>
          <w:p>
            <w:pPr>
              <w:spacing w:line="3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</w:rPr>
              <w:t>申报单位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意见：</w:t>
            </w:r>
          </w:p>
          <w:p>
            <w:pPr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</w:rPr>
              <w:t xml:space="preserve">                    负责人（签字）：</w:t>
            </w:r>
          </w:p>
          <w:p>
            <w:pPr>
              <w:wordWrap w:val="0"/>
              <w:jc w:val="right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（盖  章）   </w:t>
            </w:r>
          </w:p>
          <w:p>
            <w:pPr>
              <w:jc w:val="right"/>
              <w:rPr>
                <w:rFonts w:hAnsi="仿宋_GB2312"/>
                <w:sz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vAlign w:val="center"/>
          </w:tcPr>
          <w:p>
            <w:pPr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行业主管部门意见：</w:t>
            </w:r>
          </w:p>
          <w:p>
            <w:pPr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</w:rPr>
              <w:t xml:space="preserve">                   负责人（签字）：</w:t>
            </w:r>
          </w:p>
          <w:p>
            <w:pPr>
              <w:wordWrap w:val="0"/>
              <w:jc w:val="right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（盖  章）</w:t>
            </w:r>
          </w:p>
          <w:p>
            <w:pPr>
              <w:ind w:firstLine="6511" w:firstLineChars="2584"/>
              <w:jc w:val="right"/>
              <w:rPr>
                <w:rFonts w:hAnsi="仿宋_GB2312"/>
                <w:sz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hAnsi="仿宋_GB2312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4"/>
          <w:cols w:space="720" w:num="1"/>
          <w:titlePg/>
          <w:docGrid w:linePitch="286" w:charSpace="0"/>
        </w:sect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填写指南</w:t>
      </w:r>
    </w:p>
    <w:p>
      <w:pPr>
        <w:rPr>
          <w:rFonts w:ascii="宋体" w:hAnsi="宋体" w:eastAsia="宋体" w:cs="Times New Roman"/>
          <w:sz w:val="18"/>
          <w:szCs w:val="18"/>
        </w:rPr>
      </w:pP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4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本建议书由项目承担单位单位填写，经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呼和浩特</w:t>
      </w:r>
      <w:r>
        <w:rPr>
          <w:rFonts w:hint="eastAsia" w:ascii="仿宋" w:hAnsi="仿宋" w:eastAsia="仿宋" w:cs="仿宋"/>
          <w:sz w:val="28"/>
          <w:szCs w:val="28"/>
        </w:rPr>
        <w:t>市行业主管部门同意后，报市标准化行政主管部门。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必要性：</w:t>
      </w:r>
      <w:r>
        <w:rPr>
          <w:rFonts w:hint="eastAsia" w:ascii="仿宋" w:hAnsi="仿宋" w:eastAsia="仿宋" w:cs="仿宋"/>
          <w:sz w:val="28"/>
          <w:szCs w:val="28"/>
        </w:rPr>
        <w:t>说明标准是否在全市范围内具有普遍性，涉及全市性的关键共性技术，标准的实施主体具有广泛的社会性；标准涉及的内容是否属于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呼和浩特</w:t>
      </w:r>
      <w:r>
        <w:rPr>
          <w:rFonts w:hint="eastAsia" w:ascii="仿宋" w:hAnsi="仿宋" w:eastAsia="仿宋" w:cs="仿宋"/>
          <w:sz w:val="28"/>
          <w:szCs w:val="28"/>
        </w:rPr>
        <w:t>市经济或社会发展的重点领域；是否列入相关行业重点工作任务；是否列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呼和浩特</w:t>
      </w:r>
      <w:r>
        <w:rPr>
          <w:rFonts w:hint="eastAsia" w:ascii="仿宋" w:hAnsi="仿宋" w:eastAsia="仿宋" w:cs="仿宋"/>
          <w:sz w:val="28"/>
          <w:szCs w:val="28"/>
        </w:rPr>
        <w:t>市政府年度重点工作任务；是否能够通过制定该标准解决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呼和浩特</w:t>
      </w:r>
      <w:r>
        <w:rPr>
          <w:rFonts w:hint="eastAsia" w:ascii="仿宋" w:hAnsi="仿宋" w:eastAsia="仿宋" w:cs="仿宋"/>
          <w:sz w:val="28"/>
          <w:szCs w:val="28"/>
        </w:rPr>
        <w:t>市发展或管理中的难点问题等。是否属于有科研成果支撑的项目、与在研科研项目同步研制的项目、直接采用国际标准或国外先进标准的项目、需要修订的地方标准等。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可行性：</w:t>
      </w:r>
      <w:r>
        <w:rPr>
          <w:rFonts w:hint="eastAsia" w:ascii="仿宋" w:hAnsi="仿宋" w:eastAsia="仿宋" w:cs="仿宋"/>
          <w:sz w:val="28"/>
          <w:szCs w:val="28"/>
        </w:rPr>
        <w:t>阐明标准是否已经具备在全市范围内统一实施该标准的经济基础、社会基础以及技术基础。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适用范围和主要技术内容：</w:t>
      </w:r>
      <w:r>
        <w:rPr>
          <w:rFonts w:hint="eastAsia" w:ascii="仿宋" w:hAnsi="仿宋" w:eastAsia="仿宋" w:cs="仿宋"/>
          <w:sz w:val="28"/>
          <w:szCs w:val="28"/>
        </w:rPr>
        <w:t>阐明拟制定标准主要内容的编写结构，标准内容应以技术类为主，适当兼顾必要的管理类内容。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国内外情况简要说明：</w:t>
      </w:r>
      <w:r>
        <w:rPr>
          <w:rFonts w:hint="eastAsia" w:ascii="仿宋" w:hAnsi="仿宋" w:eastAsia="仿宋" w:cs="仿宋"/>
          <w:sz w:val="28"/>
          <w:szCs w:val="28"/>
        </w:rPr>
        <w:t>重点阐明与国内外相关标准的内容异同，即所制定的标准应没有相应的国家标准、行业标准、内蒙古自治区地方标准、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呼和浩特</w:t>
      </w:r>
      <w:r>
        <w:rPr>
          <w:rFonts w:hint="eastAsia" w:ascii="仿宋" w:hAnsi="仿宋" w:eastAsia="仿宋" w:cs="仿宋"/>
          <w:sz w:val="28"/>
          <w:szCs w:val="28"/>
        </w:rPr>
        <w:t>市地方标准，法律、法规另有规定的从其规定。未被纳入国家标准、行业标准、内蒙古自治区、地方标准制修订计划。如果已有相应的标准或计划而又确需申请地方标准立项的，应阐明与相应标准或计划的本质性区别，详细说明确需立项的理由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工作计划：</w:t>
      </w:r>
      <w:r>
        <w:rPr>
          <w:rFonts w:hint="eastAsia" w:ascii="仿宋" w:hAnsi="仿宋" w:eastAsia="仿宋" w:cs="仿宋"/>
          <w:sz w:val="28"/>
          <w:szCs w:val="28"/>
        </w:rPr>
        <w:t>列出包括起草、征求意见、送审、报批、标准宣贯培训、试点应用、监督检查及持续改进等工作进度计划。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保障措施：</w:t>
      </w:r>
      <w:r>
        <w:rPr>
          <w:rFonts w:hint="eastAsia" w:ascii="仿宋" w:hAnsi="仿宋" w:eastAsia="仿宋" w:cs="仿宋"/>
          <w:sz w:val="28"/>
          <w:szCs w:val="28"/>
        </w:rPr>
        <w:t>阐明主要起草单位为标准编制提供的人力、物力、财力保障。能够提供或已获得标准调查研究、试验验证、起草、征求意见、审查、宣贯培训、实施评估等所需的全部经费。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与相关部门、相关行业协调的情况及意见：</w:t>
      </w:r>
      <w:r>
        <w:rPr>
          <w:rFonts w:hint="eastAsia" w:ascii="仿宋" w:hAnsi="仿宋" w:eastAsia="仿宋" w:cs="仿宋"/>
          <w:sz w:val="28"/>
          <w:szCs w:val="28"/>
        </w:rPr>
        <w:t>标准涉及多个相关部门、相关行业的，应与相关部门进行协调并达成一致意见，在此阐明具体协调情况，并将征求意见的复函或协调会会议纪要作为项目申报书的附件。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有关研究基础和前期研究成果：</w:t>
      </w:r>
      <w:r>
        <w:rPr>
          <w:rFonts w:hint="eastAsia" w:ascii="仿宋" w:hAnsi="仿宋" w:eastAsia="仿宋" w:cs="仿宋"/>
          <w:sz w:val="28"/>
          <w:szCs w:val="28"/>
        </w:rPr>
        <w:t>阐明已进行过的与本标准相关的科研课题或调查研究的主要内容，并将科研报告或调研报告作为项目申报书的附件。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黑体" w:hAnsi="黑体" w:eastAsia="黑体" w:cs="Times New Roman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435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必要的试验验证数据及统计分析：</w:t>
      </w:r>
      <w:r>
        <w:rPr>
          <w:rFonts w:hint="eastAsia" w:ascii="仿宋" w:hAnsi="仿宋" w:eastAsia="仿宋" w:cs="仿宋"/>
          <w:sz w:val="28"/>
          <w:szCs w:val="28"/>
        </w:rPr>
        <w:t>给出已进行过的与本标准相关的试验验证和统计分析的结果，并将试验报告和统计分析报告作为项目申报书的附件。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Droid Sans Fallback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28 -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C2BCA"/>
    <w:multiLevelType w:val="multilevel"/>
    <w:tmpl w:val="334C2BCA"/>
    <w:lvl w:ilvl="0" w:tentative="0">
      <w:start w:val="1"/>
      <w:numFmt w:val="lowerLetter"/>
      <w:lvlText w:val="%1)"/>
      <w:lvlJc w:val="left"/>
      <w:pPr>
        <w:tabs>
          <w:tab w:val="left" w:pos="1065"/>
        </w:tabs>
        <w:ind w:left="1065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-435"/>
        </w:tabs>
        <w:ind w:left="1350" w:hanging="720"/>
      </w:pPr>
      <w:rPr>
        <w:rFonts w:hint="eastAsia" w:ascii="仿宋_GB2312" w:eastAsia="仿宋_GB2312" w:cs="Times New Roman"/>
        <w:b w:val="0"/>
        <w:bCs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A3"/>
    <w:rsid w:val="00027E35"/>
    <w:rsid w:val="00051F60"/>
    <w:rsid w:val="00075D9F"/>
    <w:rsid w:val="00094FA3"/>
    <w:rsid w:val="0009591F"/>
    <w:rsid w:val="000B1A23"/>
    <w:rsid w:val="000B2C69"/>
    <w:rsid w:val="000B68A5"/>
    <w:rsid w:val="000D7F51"/>
    <w:rsid w:val="000E68E5"/>
    <w:rsid w:val="000F0184"/>
    <w:rsid w:val="000F0422"/>
    <w:rsid w:val="00125CF0"/>
    <w:rsid w:val="00130E62"/>
    <w:rsid w:val="00141C3A"/>
    <w:rsid w:val="00144C0A"/>
    <w:rsid w:val="00152098"/>
    <w:rsid w:val="0017294E"/>
    <w:rsid w:val="00176D3C"/>
    <w:rsid w:val="001770CB"/>
    <w:rsid w:val="001832EA"/>
    <w:rsid w:val="001A2F1D"/>
    <w:rsid w:val="001B121E"/>
    <w:rsid w:val="001C66BA"/>
    <w:rsid w:val="001E4F41"/>
    <w:rsid w:val="001F3CA3"/>
    <w:rsid w:val="002221A8"/>
    <w:rsid w:val="00236511"/>
    <w:rsid w:val="00250E50"/>
    <w:rsid w:val="00273772"/>
    <w:rsid w:val="00296BC3"/>
    <w:rsid w:val="002B338F"/>
    <w:rsid w:val="002B55BF"/>
    <w:rsid w:val="002B73B4"/>
    <w:rsid w:val="002C39F7"/>
    <w:rsid w:val="002D0042"/>
    <w:rsid w:val="002E51A3"/>
    <w:rsid w:val="002F54D7"/>
    <w:rsid w:val="00314726"/>
    <w:rsid w:val="00340BE2"/>
    <w:rsid w:val="003444B2"/>
    <w:rsid w:val="00351BE0"/>
    <w:rsid w:val="0035579D"/>
    <w:rsid w:val="003D2EEF"/>
    <w:rsid w:val="003D750F"/>
    <w:rsid w:val="0042094C"/>
    <w:rsid w:val="00423C53"/>
    <w:rsid w:val="004655AE"/>
    <w:rsid w:val="005048C3"/>
    <w:rsid w:val="005257D5"/>
    <w:rsid w:val="00525C4A"/>
    <w:rsid w:val="00532B45"/>
    <w:rsid w:val="005350D6"/>
    <w:rsid w:val="00551FBF"/>
    <w:rsid w:val="00562F31"/>
    <w:rsid w:val="00564E8B"/>
    <w:rsid w:val="005A779E"/>
    <w:rsid w:val="005B31F0"/>
    <w:rsid w:val="005B565A"/>
    <w:rsid w:val="005C16A2"/>
    <w:rsid w:val="005C2EE5"/>
    <w:rsid w:val="005D0BA4"/>
    <w:rsid w:val="005D46FC"/>
    <w:rsid w:val="006441E1"/>
    <w:rsid w:val="00647D2B"/>
    <w:rsid w:val="006614AC"/>
    <w:rsid w:val="006713A8"/>
    <w:rsid w:val="006808B5"/>
    <w:rsid w:val="00685818"/>
    <w:rsid w:val="00686023"/>
    <w:rsid w:val="00695344"/>
    <w:rsid w:val="006B2985"/>
    <w:rsid w:val="006F7DD3"/>
    <w:rsid w:val="0073569E"/>
    <w:rsid w:val="00754071"/>
    <w:rsid w:val="00786AC8"/>
    <w:rsid w:val="00795858"/>
    <w:rsid w:val="007A0FBF"/>
    <w:rsid w:val="007A2648"/>
    <w:rsid w:val="007A76A2"/>
    <w:rsid w:val="007E27A8"/>
    <w:rsid w:val="007E467A"/>
    <w:rsid w:val="00815CD9"/>
    <w:rsid w:val="00827001"/>
    <w:rsid w:val="0085207F"/>
    <w:rsid w:val="008804DD"/>
    <w:rsid w:val="008871D8"/>
    <w:rsid w:val="008A5A95"/>
    <w:rsid w:val="008B2784"/>
    <w:rsid w:val="008F1D15"/>
    <w:rsid w:val="009569B6"/>
    <w:rsid w:val="00971E41"/>
    <w:rsid w:val="009825FD"/>
    <w:rsid w:val="009A2AF9"/>
    <w:rsid w:val="009D7E43"/>
    <w:rsid w:val="009F2353"/>
    <w:rsid w:val="00A023DF"/>
    <w:rsid w:val="00A06737"/>
    <w:rsid w:val="00A54F37"/>
    <w:rsid w:val="00A75029"/>
    <w:rsid w:val="00AE0875"/>
    <w:rsid w:val="00AF5ED1"/>
    <w:rsid w:val="00AF6D57"/>
    <w:rsid w:val="00B22E54"/>
    <w:rsid w:val="00B31E7D"/>
    <w:rsid w:val="00B55323"/>
    <w:rsid w:val="00B76270"/>
    <w:rsid w:val="00B964A1"/>
    <w:rsid w:val="00BA5E67"/>
    <w:rsid w:val="00C23070"/>
    <w:rsid w:val="00C45804"/>
    <w:rsid w:val="00C60010"/>
    <w:rsid w:val="00C64135"/>
    <w:rsid w:val="00C64A97"/>
    <w:rsid w:val="00C8586F"/>
    <w:rsid w:val="00C92743"/>
    <w:rsid w:val="00CA3575"/>
    <w:rsid w:val="00CC780F"/>
    <w:rsid w:val="00CE0596"/>
    <w:rsid w:val="00CE2474"/>
    <w:rsid w:val="00CE70D4"/>
    <w:rsid w:val="00D06BC0"/>
    <w:rsid w:val="00D14CD2"/>
    <w:rsid w:val="00D26644"/>
    <w:rsid w:val="00DA1E97"/>
    <w:rsid w:val="00DB1699"/>
    <w:rsid w:val="00DC3145"/>
    <w:rsid w:val="00E57F36"/>
    <w:rsid w:val="00E70508"/>
    <w:rsid w:val="00E8634B"/>
    <w:rsid w:val="00E87D5D"/>
    <w:rsid w:val="00ED355A"/>
    <w:rsid w:val="00F059FB"/>
    <w:rsid w:val="00F11A05"/>
    <w:rsid w:val="00F11CDB"/>
    <w:rsid w:val="00F279A8"/>
    <w:rsid w:val="00F32EE1"/>
    <w:rsid w:val="00F75798"/>
    <w:rsid w:val="00F932CF"/>
    <w:rsid w:val="00FA0598"/>
    <w:rsid w:val="00FE6685"/>
    <w:rsid w:val="00FF0610"/>
    <w:rsid w:val="01BF04F8"/>
    <w:rsid w:val="02494326"/>
    <w:rsid w:val="025C02A6"/>
    <w:rsid w:val="02B26EBB"/>
    <w:rsid w:val="02B53F59"/>
    <w:rsid w:val="037F0642"/>
    <w:rsid w:val="04CE422C"/>
    <w:rsid w:val="04CF62EA"/>
    <w:rsid w:val="0527223D"/>
    <w:rsid w:val="052F3E00"/>
    <w:rsid w:val="053C2E09"/>
    <w:rsid w:val="054F2DEA"/>
    <w:rsid w:val="05FA09B2"/>
    <w:rsid w:val="060B6F1F"/>
    <w:rsid w:val="062B4584"/>
    <w:rsid w:val="0630079A"/>
    <w:rsid w:val="0668505E"/>
    <w:rsid w:val="06FE79ED"/>
    <w:rsid w:val="07261133"/>
    <w:rsid w:val="073067CD"/>
    <w:rsid w:val="076639BD"/>
    <w:rsid w:val="07C336F5"/>
    <w:rsid w:val="07EF0FAB"/>
    <w:rsid w:val="08160D14"/>
    <w:rsid w:val="09603454"/>
    <w:rsid w:val="09C949A3"/>
    <w:rsid w:val="0AA72FE7"/>
    <w:rsid w:val="0ACB09F3"/>
    <w:rsid w:val="0B160B6C"/>
    <w:rsid w:val="0B685995"/>
    <w:rsid w:val="0BCD65AC"/>
    <w:rsid w:val="0D18580E"/>
    <w:rsid w:val="0D2B63F6"/>
    <w:rsid w:val="0D407F59"/>
    <w:rsid w:val="0DEB1E0D"/>
    <w:rsid w:val="10B578FF"/>
    <w:rsid w:val="10D66A76"/>
    <w:rsid w:val="118005B7"/>
    <w:rsid w:val="1192594E"/>
    <w:rsid w:val="12077A0F"/>
    <w:rsid w:val="12B81EF8"/>
    <w:rsid w:val="13937B46"/>
    <w:rsid w:val="13E138BD"/>
    <w:rsid w:val="146A351F"/>
    <w:rsid w:val="152034FC"/>
    <w:rsid w:val="154F54E1"/>
    <w:rsid w:val="15A83CD4"/>
    <w:rsid w:val="15D4657D"/>
    <w:rsid w:val="15E8218A"/>
    <w:rsid w:val="16210E12"/>
    <w:rsid w:val="1683554A"/>
    <w:rsid w:val="16A0761C"/>
    <w:rsid w:val="170A4AEA"/>
    <w:rsid w:val="18643A7B"/>
    <w:rsid w:val="18AC6982"/>
    <w:rsid w:val="19E45738"/>
    <w:rsid w:val="1BC72AA7"/>
    <w:rsid w:val="1BFC7AD0"/>
    <w:rsid w:val="1C394A09"/>
    <w:rsid w:val="1D163CFC"/>
    <w:rsid w:val="1D8C1E49"/>
    <w:rsid w:val="1E5D28E5"/>
    <w:rsid w:val="1EEC3B7C"/>
    <w:rsid w:val="1F08280C"/>
    <w:rsid w:val="1FAD3397"/>
    <w:rsid w:val="1FB50519"/>
    <w:rsid w:val="203075B6"/>
    <w:rsid w:val="204258AF"/>
    <w:rsid w:val="215D2FCC"/>
    <w:rsid w:val="21B43777"/>
    <w:rsid w:val="21CC0174"/>
    <w:rsid w:val="22106145"/>
    <w:rsid w:val="2429684F"/>
    <w:rsid w:val="24373BD6"/>
    <w:rsid w:val="24940858"/>
    <w:rsid w:val="25651BBC"/>
    <w:rsid w:val="25BF4E1D"/>
    <w:rsid w:val="25E4621F"/>
    <w:rsid w:val="2634547F"/>
    <w:rsid w:val="26944A96"/>
    <w:rsid w:val="26B900A3"/>
    <w:rsid w:val="26B927C6"/>
    <w:rsid w:val="26BA6326"/>
    <w:rsid w:val="27145168"/>
    <w:rsid w:val="272264B4"/>
    <w:rsid w:val="276723BB"/>
    <w:rsid w:val="277F4D0B"/>
    <w:rsid w:val="27BA672C"/>
    <w:rsid w:val="28151890"/>
    <w:rsid w:val="284839AE"/>
    <w:rsid w:val="28C14920"/>
    <w:rsid w:val="28C33576"/>
    <w:rsid w:val="297F1AF5"/>
    <w:rsid w:val="29B87D51"/>
    <w:rsid w:val="2A362D04"/>
    <w:rsid w:val="2A805F38"/>
    <w:rsid w:val="2ABC6F93"/>
    <w:rsid w:val="2B58795F"/>
    <w:rsid w:val="2B93335D"/>
    <w:rsid w:val="2C04696B"/>
    <w:rsid w:val="2C9C7B54"/>
    <w:rsid w:val="2D2E531A"/>
    <w:rsid w:val="2DE45823"/>
    <w:rsid w:val="2E8B0A43"/>
    <w:rsid w:val="2EEF219E"/>
    <w:rsid w:val="2EFF1222"/>
    <w:rsid w:val="2F2B01D2"/>
    <w:rsid w:val="30F2500F"/>
    <w:rsid w:val="314E68E9"/>
    <w:rsid w:val="31B759CA"/>
    <w:rsid w:val="31CE444E"/>
    <w:rsid w:val="336105DF"/>
    <w:rsid w:val="336A0375"/>
    <w:rsid w:val="33772DA4"/>
    <w:rsid w:val="33E02B74"/>
    <w:rsid w:val="340A74A9"/>
    <w:rsid w:val="342A7FD0"/>
    <w:rsid w:val="35091B1B"/>
    <w:rsid w:val="350F0DC7"/>
    <w:rsid w:val="357B2E69"/>
    <w:rsid w:val="36554271"/>
    <w:rsid w:val="366B0828"/>
    <w:rsid w:val="3685632A"/>
    <w:rsid w:val="368D3D34"/>
    <w:rsid w:val="36E91204"/>
    <w:rsid w:val="371A728B"/>
    <w:rsid w:val="37315D16"/>
    <w:rsid w:val="37743F5C"/>
    <w:rsid w:val="3865767F"/>
    <w:rsid w:val="38964363"/>
    <w:rsid w:val="38E01651"/>
    <w:rsid w:val="38E02F6F"/>
    <w:rsid w:val="39867C52"/>
    <w:rsid w:val="39FB57F8"/>
    <w:rsid w:val="3A49467E"/>
    <w:rsid w:val="3A863A07"/>
    <w:rsid w:val="3B0A4146"/>
    <w:rsid w:val="3B4B1A89"/>
    <w:rsid w:val="3B4E5261"/>
    <w:rsid w:val="3B5236DD"/>
    <w:rsid w:val="3B664863"/>
    <w:rsid w:val="3B953086"/>
    <w:rsid w:val="3C181CFD"/>
    <w:rsid w:val="3D36451E"/>
    <w:rsid w:val="3D467C43"/>
    <w:rsid w:val="3D75590E"/>
    <w:rsid w:val="3E0427DE"/>
    <w:rsid w:val="3F2A55BE"/>
    <w:rsid w:val="3FB005E7"/>
    <w:rsid w:val="40A869A5"/>
    <w:rsid w:val="40C90C31"/>
    <w:rsid w:val="40CC6FE5"/>
    <w:rsid w:val="40DC4376"/>
    <w:rsid w:val="41A82CCE"/>
    <w:rsid w:val="420F46CB"/>
    <w:rsid w:val="42920889"/>
    <w:rsid w:val="431F4B62"/>
    <w:rsid w:val="43933213"/>
    <w:rsid w:val="43EC508D"/>
    <w:rsid w:val="44DA7E8A"/>
    <w:rsid w:val="44F35E32"/>
    <w:rsid w:val="450F0495"/>
    <w:rsid w:val="45A96324"/>
    <w:rsid w:val="467D2D52"/>
    <w:rsid w:val="46F07365"/>
    <w:rsid w:val="46F37892"/>
    <w:rsid w:val="47B160EC"/>
    <w:rsid w:val="47DB77CB"/>
    <w:rsid w:val="480E77AF"/>
    <w:rsid w:val="49157B3E"/>
    <w:rsid w:val="4968359F"/>
    <w:rsid w:val="49B30F9D"/>
    <w:rsid w:val="4A4D6CAE"/>
    <w:rsid w:val="4AF632AC"/>
    <w:rsid w:val="4B423729"/>
    <w:rsid w:val="4B950B1A"/>
    <w:rsid w:val="4BCF3E9F"/>
    <w:rsid w:val="4C6830F3"/>
    <w:rsid w:val="4CB00C8A"/>
    <w:rsid w:val="4CF57DFF"/>
    <w:rsid w:val="4D373B64"/>
    <w:rsid w:val="4DC0012C"/>
    <w:rsid w:val="4EE7A30E"/>
    <w:rsid w:val="4F1C1AE3"/>
    <w:rsid w:val="50390712"/>
    <w:rsid w:val="50423DB4"/>
    <w:rsid w:val="50D94ED4"/>
    <w:rsid w:val="510311C8"/>
    <w:rsid w:val="51696EAD"/>
    <w:rsid w:val="51A334F2"/>
    <w:rsid w:val="524A797E"/>
    <w:rsid w:val="528A113E"/>
    <w:rsid w:val="52A74CA9"/>
    <w:rsid w:val="53317F5F"/>
    <w:rsid w:val="536720F4"/>
    <w:rsid w:val="53907251"/>
    <w:rsid w:val="53AE5871"/>
    <w:rsid w:val="53C356E7"/>
    <w:rsid w:val="543E222D"/>
    <w:rsid w:val="56127DF4"/>
    <w:rsid w:val="5615621C"/>
    <w:rsid w:val="56263D86"/>
    <w:rsid w:val="56DA0E89"/>
    <w:rsid w:val="56FE4290"/>
    <w:rsid w:val="571F2A05"/>
    <w:rsid w:val="58817D60"/>
    <w:rsid w:val="599F5E20"/>
    <w:rsid w:val="59CC1EFD"/>
    <w:rsid w:val="5B3513AD"/>
    <w:rsid w:val="5BEE3AE3"/>
    <w:rsid w:val="5C047F6D"/>
    <w:rsid w:val="5C9D5104"/>
    <w:rsid w:val="5CBD1FAD"/>
    <w:rsid w:val="5D443FBD"/>
    <w:rsid w:val="5DAD276C"/>
    <w:rsid w:val="5E080AD7"/>
    <w:rsid w:val="5E9255F1"/>
    <w:rsid w:val="5ECF3806"/>
    <w:rsid w:val="5F223D5A"/>
    <w:rsid w:val="5F485754"/>
    <w:rsid w:val="5F9516A8"/>
    <w:rsid w:val="5FBE2C61"/>
    <w:rsid w:val="60055E7F"/>
    <w:rsid w:val="608739C7"/>
    <w:rsid w:val="60AB1010"/>
    <w:rsid w:val="60DC0929"/>
    <w:rsid w:val="60F3704C"/>
    <w:rsid w:val="62846702"/>
    <w:rsid w:val="633430E8"/>
    <w:rsid w:val="634621F5"/>
    <w:rsid w:val="635F62F8"/>
    <w:rsid w:val="63F63B09"/>
    <w:rsid w:val="652A1D3B"/>
    <w:rsid w:val="65A12ADD"/>
    <w:rsid w:val="6623288D"/>
    <w:rsid w:val="6690080B"/>
    <w:rsid w:val="676751F3"/>
    <w:rsid w:val="67D01E99"/>
    <w:rsid w:val="68694F9E"/>
    <w:rsid w:val="6924058B"/>
    <w:rsid w:val="694B27D0"/>
    <w:rsid w:val="696C433B"/>
    <w:rsid w:val="6A2C2E72"/>
    <w:rsid w:val="6A88448A"/>
    <w:rsid w:val="6A973B9C"/>
    <w:rsid w:val="6AE742A7"/>
    <w:rsid w:val="6B7F0F04"/>
    <w:rsid w:val="6BB9681B"/>
    <w:rsid w:val="6C4F3129"/>
    <w:rsid w:val="6E0D450B"/>
    <w:rsid w:val="6E176960"/>
    <w:rsid w:val="6F550D9E"/>
    <w:rsid w:val="71643A84"/>
    <w:rsid w:val="71DA5A5E"/>
    <w:rsid w:val="71EA43F7"/>
    <w:rsid w:val="722B191D"/>
    <w:rsid w:val="7261223B"/>
    <w:rsid w:val="72B63385"/>
    <w:rsid w:val="72F60C0D"/>
    <w:rsid w:val="733D4C5B"/>
    <w:rsid w:val="73792DF7"/>
    <w:rsid w:val="747F31C2"/>
    <w:rsid w:val="74A90B8B"/>
    <w:rsid w:val="74DD7D9B"/>
    <w:rsid w:val="75316448"/>
    <w:rsid w:val="75751393"/>
    <w:rsid w:val="76477833"/>
    <w:rsid w:val="77FB71D3"/>
    <w:rsid w:val="78393B52"/>
    <w:rsid w:val="78661290"/>
    <w:rsid w:val="792256D8"/>
    <w:rsid w:val="793C21B9"/>
    <w:rsid w:val="79DF23BF"/>
    <w:rsid w:val="79F31BD9"/>
    <w:rsid w:val="79F71C6B"/>
    <w:rsid w:val="7A16384A"/>
    <w:rsid w:val="7A183FF9"/>
    <w:rsid w:val="7AA067CA"/>
    <w:rsid w:val="7B306F77"/>
    <w:rsid w:val="7BAA5ADB"/>
    <w:rsid w:val="7CD535E0"/>
    <w:rsid w:val="7CDE7716"/>
    <w:rsid w:val="7D100166"/>
    <w:rsid w:val="7D673675"/>
    <w:rsid w:val="7D8B077A"/>
    <w:rsid w:val="7D980CCE"/>
    <w:rsid w:val="7E0D5546"/>
    <w:rsid w:val="7E120342"/>
    <w:rsid w:val="7E1245E8"/>
    <w:rsid w:val="7E390024"/>
    <w:rsid w:val="7EA460BE"/>
    <w:rsid w:val="7EB15C7F"/>
    <w:rsid w:val="7F2F4E3F"/>
    <w:rsid w:val="FFE1E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6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hint="eastAsia" w:ascii="Arial" w:hAnsi="Arial" w:eastAsia="黑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pacing w:val="0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pacing w:val="0"/>
      <w:kern w:val="0"/>
      <w:sz w:val="18"/>
      <w:szCs w:val="18"/>
    </w:rPr>
  </w:style>
  <w:style w:type="table" w:styleId="6">
    <w:name w:val="Table Grid"/>
    <w:basedOn w:val="5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BodyText2"/>
    <w:basedOn w:val="1"/>
    <w:qFormat/>
    <w:uiPriority w:val="0"/>
    <w:pPr>
      <w:spacing w:after="120" w:line="480" w:lineRule="auto"/>
      <w:textAlignment w:val="baseline"/>
    </w:pPr>
    <w:rPr>
      <w:rFonts w:eastAsia="宋体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290</Words>
  <Characters>1656</Characters>
  <Lines>13</Lines>
  <Paragraphs>3</Paragraphs>
  <TotalTime>3</TotalTime>
  <ScaleCrop>false</ScaleCrop>
  <LinksUpToDate>false</LinksUpToDate>
  <CharactersWithSpaces>1943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2024-12-17T17:19:00Z</dcterms:created>
  <dc:creator>郑志伟(郑志伟:)</dc:creator>
  <cp:lastModifiedBy>scjdglj</cp:lastModifiedBy>
  <dcterms:modified xsi:type="dcterms:W3CDTF">2025-01-10T10:36:07Z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