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60" w:lineRule="auto"/>
        <w:jc w:val="center"/>
        <w:rPr>
          <w:rFonts w:hint="eastAsia" w:ascii="宋体" w:hAnsi="宋体" w:eastAsia="宋体" w:cs="宋体"/>
          <w:b/>
          <w:sz w:val="56"/>
          <w:szCs w:val="56"/>
          <w:lang w:eastAsia="zh-CN"/>
        </w:rPr>
      </w:pPr>
      <w:bookmarkStart w:id="103" w:name="_GoBack"/>
      <w:bookmarkEnd w:id="103"/>
    </w:p>
    <w:p>
      <w:pPr>
        <w:shd w:val="clear" w:color="auto" w:fill="FFFFFF"/>
        <w:spacing w:line="360" w:lineRule="auto"/>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呼和浩特市市场监督管理局</w:t>
      </w:r>
    </w:p>
    <w:p>
      <w:pPr>
        <w:shd w:val="clear" w:color="auto" w:fill="FFFFFF"/>
        <w:spacing w:line="360" w:lineRule="auto"/>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加油站诚信经营监测数据技术服务</w:t>
      </w:r>
    </w:p>
    <w:p>
      <w:pPr>
        <w:shd w:val="clear" w:color="auto" w:fill="FFFFFF"/>
        <w:spacing w:line="360" w:lineRule="auto"/>
        <w:rPr>
          <w:rFonts w:hint="eastAsia" w:ascii="宋体" w:hAnsi="宋体" w:cs="宋体"/>
          <w:b w:val="0"/>
          <w:bCs/>
          <w:sz w:val="56"/>
          <w:szCs w:val="56"/>
        </w:rPr>
      </w:pPr>
    </w:p>
    <w:p>
      <w:pPr>
        <w:shd w:val="clear" w:color="auto" w:fill="FFFFFF"/>
        <w:spacing w:line="360" w:lineRule="auto"/>
        <w:jc w:val="center"/>
        <w:rPr>
          <w:rFonts w:hint="eastAsia" w:ascii="宋体" w:hAnsi="宋体" w:cs="宋体"/>
          <w:sz w:val="32"/>
          <w:szCs w:val="32"/>
        </w:rPr>
      </w:pPr>
      <w:r>
        <w:rPr>
          <w:rFonts w:hint="eastAsia" w:ascii="宋体" w:hAnsi="宋体" w:cs="宋体"/>
          <w:b/>
          <w:sz w:val="84"/>
          <w:szCs w:val="84"/>
        </w:rPr>
        <w:t>竞争性磋商文件</w:t>
      </w:r>
    </w:p>
    <w:p>
      <w:pPr>
        <w:shd w:val="clear" w:color="auto" w:fill="FFFFFF"/>
        <w:spacing w:line="480" w:lineRule="exact"/>
        <w:ind w:right="57"/>
        <w:rPr>
          <w:rFonts w:hint="eastAsia" w:ascii="宋体" w:hAnsi="宋体" w:cs="宋体"/>
          <w:b/>
          <w:bCs/>
          <w:sz w:val="28"/>
          <w:szCs w:val="28"/>
        </w:rPr>
      </w:pPr>
      <w:r>
        <w:rPr>
          <w:rFonts w:hint="eastAsia" w:ascii="宋体" w:hAnsi="宋体" w:cs="宋体"/>
          <w:b/>
          <w:bCs/>
          <w:sz w:val="28"/>
          <w:szCs w:val="28"/>
        </w:rPr>
        <w:t xml:space="preserve">                      </w:t>
      </w:r>
    </w:p>
    <w:p>
      <w:pPr>
        <w:shd w:val="clear" w:color="auto" w:fill="FFFFFF"/>
        <w:spacing w:line="480" w:lineRule="exact"/>
        <w:ind w:right="57"/>
        <w:rPr>
          <w:rFonts w:hint="eastAsia" w:ascii="宋体" w:hAnsi="宋体" w:cs="宋体"/>
          <w:b/>
          <w:bCs/>
          <w:sz w:val="28"/>
          <w:szCs w:val="28"/>
        </w:rPr>
      </w:pPr>
    </w:p>
    <w:p>
      <w:pPr>
        <w:shd w:val="clear" w:color="auto" w:fill="FFFFFF"/>
        <w:spacing w:line="480" w:lineRule="exact"/>
        <w:ind w:right="57"/>
        <w:rPr>
          <w:rFonts w:hint="eastAsia" w:ascii="宋体" w:hAnsi="宋体" w:cs="宋体"/>
          <w:b/>
          <w:bCs/>
          <w:sz w:val="28"/>
          <w:szCs w:val="28"/>
        </w:rPr>
      </w:pPr>
    </w:p>
    <w:p>
      <w:pPr>
        <w:shd w:val="clear" w:color="auto" w:fill="FFFFFF"/>
        <w:spacing w:line="480" w:lineRule="exact"/>
        <w:ind w:right="57"/>
        <w:rPr>
          <w:rFonts w:hint="eastAsia" w:ascii="宋体" w:hAnsi="宋体" w:cs="宋体"/>
          <w:b/>
          <w:bCs/>
          <w:sz w:val="28"/>
          <w:szCs w:val="28"/>
        </w:rPr>
      </w:pPr>
    </w:p>
    <w:p>
      <w:pPr>
        <w:shd w:val="clear" w:color="auto" w:fill="FFFFFF"/>
        <w:spacing w:line="480" w:lineRule="auto"/>
        <w:ind w:right="57"/>
        <w:rPr>
          <w:rFonts w:hint="eastAsia" w:ascii="宋体" w:hAnsi="宋体" w:cs="宋体"/>
          <w:b/>
          <w:bCs/>
          <w:sz w:val="32"/>
          <w:szCs w:val="32"/>
        </w:rPr>
      </w:pPr>
    </w:p>
    <w:p>
      <w:pPr>
        <w:shd w:val="clear" w:color="auto" w:fill="FFFFFF"/>
        <w:spacing w:line="360" w:lineRule="auto"/>
        <w:rPr>
          <w:rFonts w:hint="eastAsia" w:ascii="宋体" w:hAnsi="宋体" w:cs="宋体"/>
          <w:sz w:val="32"/>
          <w:szCs w:val="32"/>
        </w:rPr>
      </w:pPr>
    </w:p>
    <w:p>
      <w:pPr>
        <w:pStyle w:val="5"/>
        <w:rPr>
          <w:rFonts w:hint="eastAsia"/>
        </w:rPr>
      </w:pPr>
    </w:p>
    <w:p>
      <w:pPr>
        <w:shd w:val="clear" w:color="auto" w:fill="FFFFFF"/>
        <w:spacing w:line="360" w:lineRule="auto"/>
        <w:rPr>
          <w:rFonts w:hint="eastAsia" w:ascii="宋体" w:hAnsi="宋体" w:cs="宋体"/>
          <w:sz w:val="32"/>
          <w:szCs w:val="32"/>
        </w:rPr>
      </w:pPr>
    </w:p>
    <w:p>
      <w:pPr>
        <w:shd w:val="clear" w:color="auto" w:fill="FFFFFF"/>
        <w:spacing w:line="360" w:lineRule="auto"/>
        <w:ind w:left="0" w:leftChars="0" w:firstLine="1687" w:firstLineChars="525"/>
        <w:rPr>
          <w:rFonts w:hint="eastAsia" w:ascii="宋体" w:hAnsi="宋体" w:cs="宋体" w:eastAsiaTheme="minorEastAsia"/>
          <w:b/>
          <w:bCs/>
          <w:sz w:val="32"/>
          <w:lang w:eastAsia="zh-CN"/>
        </w:rPr>
      </w:pPr>
      <w:r>
        <w:rPr>
          <w:rFonts w:hint="eastAsia" w:ascii="宋体" w:hAnsi="宋体" w:cs="宋体"/>
          <w:b/>
          <w:bCs/>
          <w:sz w:val="32"/>
          <w:szCs w:val="32"/>
        </w:rPr>
        <w:t>采 购 人：</w:t>
      </w:r>
      <w:r>
        <w:rPr>
          <w:rFonts w:hint="eastAsia" w:ascii="宋体" w:hAnsi="宋体" w:cs="宋体"/>
          <w:b/>
          <w:bCs/>
          <w:sz w:val="32"/>
          <w:szCs w:val="32"/>
          <w:lang w:val="en-US" w:eastAsia="zh-CN"/>
        </w:rPr>
        <w:t>呼和浩特市市场监督管理局</w:t>
      </w:r>
    </w:p>
    <w:p>
      <w:pPr>
        <w:shd w:val="clear" w:color="auto" w:fill="FFFFFF"/>
        <w:spacing w:line="360" w:lineRule="auto"/>
        <w:ind w:left="0" w:leftChars="0" w:firstLine="1687" w:firstLineChars="525"/>
        <w:rPr>
          <w:rFonts w:hint="eastAsia" w:ascii="宋体" w:hAnsi="宋体" w:cs="宋体"/>
          <w:b/>
          <w:bCs/>
          <w:sz w:val="32"/>
          <w:szCs w:val="32"/>
        </w:rPr>
      </w:pPr>
      <w:r>
        <w:rPr>
          <w:rFonts w:hint="eastAsia" w:ascii="宋体" w:hAnsi="宋体" w:cs="宋体"/>
          <w:b/>
          <w:bCs/>
          <w:sz w:val="32"/>
          <w:szCs w:val="32"/>
        </w:rPr>
        <w:t>日    期：20</w:t>
      </w:r>
      <w:r>
        <w:rPr>
          <w:rFonts w:hint="eastAsia" w:ascii="宋体" w:hAnsi="宋体" w:cs="宋体"/>
          <w:b/>
          <w:bCs/>
          <w:sz w:val="32"/>
          <w:szCs w:val="32"/>
          <w:lang w:val="en-US" w:eastAsia="zh-CN"/>
        </w:rPr>
        <w:t>24</w:t>
      </w:r>
      <w:r>
        <w:rPr>
          <w:rFonts w:hint="eastAsia" w:ascii="宋体" w:hAnsi="宋体" w:cs="宋体"/>
          <w:b/>
          <w:bCs/>
          <w:sz w:val="32"/>
          <w:szCs w:val="32"/>
        </w:rPr>
        <w:t xml:space="preserve">年 </w:t>
      </w:r>
      <w:r>
        <w:rPr>
          <w:rFonts w:hint="eastAsia" w:ascii="宋体" w:hAnsi="宋体" w:cs="宋体"/>
          <w:b/>
          <w:bCs/>
          <w:sz w:val="32"/>
          <w:szCs w:val="32"/>
          <w:lang w:val="en-US" w:eastAsia="zh-CN"/>
        </w:rPr>
        <w:t>11</w:t>
      </w:r>
      <w:r>
        <w:rPr>
          <w:rFonts w:hint="eastAsia" w:ascii="宋体" w:hAnsi="宋体" w:cs="宋体"/>
          <w:b/>
          <w:bCs/>
          <w:sz w:val="32"/>
          <w:szCs w:val="32"/>
        </w:rPr>
        <w:t xml:space="preserve">月 </w:t>
      </w:r>
      <w:r>
        <w:rPr>
          <w:rFonts w:hint="eastAsia" w:ascii="宋体" w:hAnsi="宋体" w:cs="宋体"/>
          <w:b/>
          <w:bCs/>
          <w:sz w:val="32"/>
          <w:szCs w:val="32"/>
          <w:lang w:val="en-US" w:eastAsia="zh-CN"/>
        </w:rPr>
        <w:t>29</w:t>
      </w:r>
      <w:r>
        <w:rPr>
          <w:rFonts w:hint="eastAsia" w:ascii="宋体" w:hAnsi="宋体" w:cs="宋体"/>
          <w:b/>
          <w:bCs/>
          <w:sz w:val="32"/>
          <w:szCs w:val="32"/>
        </w:rPr>
        <w:t xml:space="preserve"> 日</w:t>
      </w:r>
    </w:p>
    <w:p>
      <w:pPr>
        <w:pStyle w:val="20"/>
        <w:spacing w:before="0" w:line="360" w:lineRule="auto"/>
        <w:ind w:left="0" w:leftChars="0" w:firstLine="2319" w:firstLineChars="525"/>
        <w:jc w:val="center"/>
        <w:rPr>
          <w:rFonts w:hint="eastAsia" w:ascii="宋体" w:hAnsi="宋体" w:cs="宋体"/>
          <w:color w:val="auto"/>
          <w:sz w:val="44"/>
          <w:szCs w:val="44"/>
        </w:rPr>
        <w:sectPr>
          <w:headerReference r:id="rId4" w:type="first"/>
          <w:headerReference r:id="rId3" w:type="default"/>
          <w:pgSz w:w="11906" w:h="16838"/>
          <w:pgMar w:top="1924" w:right="1418" w:bottom="1418" w:left="1418" w:header="31" w:footer="0" w:gutter="0"/>
          <w:pgNumType w:fmt="numberInDash" w:start="0"/>
          <w:cols w:space="720" w:num="1"/>
          <w:docGrid w:type="lines" w:linePitch="312" w:charSpace="0"/>
        </w:sectPr>
      </w:pPr>
    </w:p>
    <w:p>
      <w:pPr>
        <w:numPr>
          <w:ilvl w:val="0"/>
          <w:numId w:val="0"/>
        </w:numPr>
        <w:spacing w:line="360" w:lineRule="auto"/>
        <w:jc w:val="center"/>
        <w:outlineLvl w:val="0"/>
        <w:rPr>
          <w:rFonts w:hint="eastAsia" w:ascii="宋体" w:hAnsi="宋体" w:cs="宋体" w:eastAsiaTheme="minorEastAsia"/>
          <w:b/>
          <w:bCs/>
          <w:kern w:val="0"/>
          <w:sz w:val="36"/>
          <w:szCs w:val="36"/>
          <w:lang w:val="en-US" w:eastAsia="zh-CN" w:bidi="ar-SA"/>
        </w:rPr>
      </w:pPr>
    </w:p>
    <w:p>
      <w:pPr>
        <w:numPr>
          <w:ilvl w:val="0"/>
          <w:numId w:val="0"/>
        </w:numPr>
        <w:spacing w:line="360" w:lineRule="auto"/>
        <w:jc w:val="center"/>
        <w:outlineLvl w:val="0"/>
        <w:rPr>
          <w:rFonts w:hint="eastAsia" w:ascii="宋体" w:hAnsi="宋体" w:cs="宋体" w:eastAsiaTheme="minorEastAsia"/>
          <w:b/>
          <w:bCs/>
          <w:kern w:val="0"/>
          <w:sz w:val="36"/>
          <w:szCs w:val="36"/>
          <w:lang w:val="en-US" w:eastAsia="zh-CN" w:bidi="ar-SA"/>
        </w:rPr>
      </w:pPr>
    </w:p>
    <w:p>
      <w:pPr>
        <w:numPr>
          <w:ilvl w:val="0"/>
          <w:numId w:val="0"/>
        </w:numPr>
        <w:spacing w:line="360" w:lineRule="auto"/>
        <w:jc w:val="center"/>
        <w:outlineLvl w:val="0"/>
        <w:rPr>
          <w:rFonts w:hint="eastAsia" w:ascii="宋体" w:hAnsi="宋体" w:cs="宋体" w:eastAsiaTheme="minorEastAsia"/>
          <w:b/>
          <w:bCs/>
          <w:kern w:val="0"/>
          <w:sz w:val="36"/>
          <w:szCs w:val="36"/>
          <w:lang w:val="en-US" w:eastAsia="zh-CN" w:bidi="ar-SA"/>
        </w:rPr>
      </w:pPr>
    </w:p>
    <w:p>
      <w:pPr>
        <w:numPr>
          <w:ilvl w:val="0"/>
          <w:numId w:val="0"/>
        </w:numPr>
        <w:spacing w:line="360" w:lineRule="auto"/>
        <w:jc w:val="center"/>
        <w:outlineLvl w:val="0"/>
        <w:rPr>
          <w:rFonts w:hint="eastAsia" w:ascii="宋体" w:hAnsi="宋体" w:cs="宋体" w:eastAsiaTheme="minorEastAsia"/>
          <w:b/>
          <w:bCs/>
          <w:kern w:val="0"/>
          <w:sz w:val="36"/>
          <w:szCs w:val="36"/>
          <w:lang w:val="en-US" w:eastAsia="zh-CN" w:bidi="ar-SA"/>
        </w:rPr>
      </w:pPr>
    </w:p>
    <w:p>
      <w:pPr>
        <w:numPr>
          <w:ilvl w:val="0"/>
          <w:numId w:val="0"/>
        </w:numPr>
        <w:spacing w:line="360" w:lineRule="auto"/>
        <w:jc w:val="center"/>
        <w:outlineLvl w:val="0"/>
        <w:rPr>
          <w:rFonts w:hint="eastAsia" w:ascii="宋体" w:hAnsi="宋体" w:cs="宋体" w:eastAsiaTheme="minorEastAsia"/>
          <w:b/>
          <w:bCs/>
          <w:kern w:val="0"/>
          <w:sz w:val="36"/>
          <w:szCs w:val="36"/>
          <w:lang w:val="en-US" w:eastAsia="zh-CN" w:bidi="ar-SA"/>
        </w:rPr>
      </w:pPr>
    </w:p>
    <w:p>
      <w:pPr>
        <w:numPr>
          <w:ilvl w:val="0"/>
          <w:numId w:val="0"/>
        </w:numPr>
        <w:spacing w:line="360" w:lineRule="auto"/>
        <w:jc w:val="center"/>
        <w:outlineLvl w:val="0"/>
        <w:rPr>
          <w:rFonts w:hint="eastAsia" w:ascii="宋体" w:hAnsi="宋体" w:cs="宋体" w:eastAsiaTheme="minorEastAsia"/>
          <w:b/>
          <w:bCs/>
          <w:kern w:val="0"/>
          <w:sz w:val="36"/>
          <w:szCs w:val="36"/>
          <w:lang w:val="en-US" w:eastAsia="zh-CN" w:bidi="ar-SA"/>
        </w:rPr>
      </w:pPr>
    </w:p>
    <w:p>
      <w:pPr>
        <w:numPr>
          <w:ilvl w:val="0"/>
          <w:numId w:val="0"/>
        </w:numPr>
        <w:spacing w:line="360" w:lineRule="auto"/>
        <w:jc w:val="center"/>
        <w:outlineLvl w:val="0"/>
        <w:rPr>
          <w:rFonts w:hint="eastAsia" w:ascii="宋体" w:hAnsi="宋体" w:cs="宋体" w:eastAsiaTheme="minorEastAsia"/>
          <w:b/>
          <w:bCs/>
          <w:kern w:val="0"/>
          <w:sz w:val="36"/>
          <w:szCs w:val="36"/>
          <w:lang w:val="en-US" w:eastAsia="zh-CN" w:bidi="ar-SA"/>
        </w:rPr>
      </w:pPr>
    </w:p>
    <w:p>
      <w:pPr>
        <w:numPr>
          <w:ilvl w:val="0"/>
          <w:numId w:val="0"/>
        </w:numPr>
        <w:spacing w:line="360" w:lineRule="auto"/>
        <w:jc w:val="center"/>
        <w:outlineLvl w:val="0"/>
        <w:rPr>
          <w:rFonts w:hint="eastAsia" w:ascii="宋体" w:hAnsi="宋体" w:cs="宋体" w:eastAsiaTheme="minorEastAsia"/>
          <w:b/>
          <w:bCs/>
          <w:kern w:val="0"/>
          <w:sz w:val="36"/>
          <w:szCs w:val="36"/>
          <w:lang w:val="en-US" w:eastAsia="zh-CN" w:bidi="ar-SA"/>
        </w:rPr>
      </w:pPr>
    </w:p>
    <w:p>
      <w:pPr>
        <w:numPr>
          <w:ilvl w:val="0"/>
          <w:numId w:val="1"/>
        </w:numPr>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lang w:val="en-US" w:eastAsia="zh-CN"/>
        </w:rPr>
        <w:t>竞争性磋商公告</w:t>
      </w:r>
    </w:p>
    <w:p>
      <w:pPr>
        <w:widowControl w:val="0"/>
        <w:numPr>
          <w:ilvl w:val="0"/>
          <w:numId w:val="0"/>
        </w:numPr>
        <w:jc w:val="center"/>
        <w:rPr>
          <w:rFonts w:hint="eastAsia" w:ascii="方正公文小标宋" w:hAnsi="方正公文小标宋" w:eastAsia="方正公文小标宋" w:cs="方正公文小标宋"/>
          <w:sz w:val="44"/>
          <w:szCs w:val="44"/>
        </w:rPr>
      </w:pPr>
    </w:p>
    <w:p>
      <w:pPr>
        <w:widowControl w:val="0"/>
        <w:numPr>
          <w:ilvl w:val="0"/>
          <w:numId w:val="0"/>
        </w:numPr>
        <w:jc w:val="center"/>
        <w:rPr>
          <w:rFonts w:hint="eastAsia" w:ascii="方正公文小标宋" w:hAnsi="方正公文小标宋" w:eastAsia="方正公文小标宋" w:cs="方正公文小标宋"/>
          <w:sz w:val="44"/>
          <w:szCs w:val="44"/>
        </w:rPr>
      </w:pPr>
    </w:p>
    <w:p>
      <w:pPr>
        <w:widowControl w:val="0"/>
        <w:numPr>
          <w:ilvl w:val="0"/>
          <w:numId w:val="0"/>
        </w:numPr>
        <w:jc w:val="center"/>
        <w:rPr>
          <w:rFonts w:hint="eastAsia" w:ascii="方正公文小标宋" w:hAnsi="方正公文小标宋" w:eastAsia="方正公文小标宋" w:cs="方正公文小标宋"/>
          <w:sz w:val="44"/>
          <w:szCs w:val="44"/>
        </w:rPr>
      </w:pPr>
    </w:p>
    <w:p>
      <w:pPr>
        <w:widowControl w:val="0"/>
        <w:numPr>
          <w:ilvl w:val="0"/>
          <w:numId w:val="0"/>
        </w:numPr>
        <w:jc w:val="center"/>
        <w:rPr>
          <w:rFonts w:hint="eastAsia" w:ascii="方正公文小标宋" w:hAnsi="方正公文小标宋" w:eastAsia="方正公文小标宋" w:cs="方正公文小标宋"/>
          <w:sz w:val="44"/>
          <w:szCs w:val="44"/>
        </w:rPr>
      </w:pPr>
    </w:p>
    <w:p>
      <w:pPr>
        <w:widowControl w:val="0"/>
        <w:numPr>
          <w:ilvl w:val="0"/>
          <w:numId w:val="0"/>
        </w:numPr>
        <w:jc w:val="center"/>
        <w:rPr>
          <w:rFonts w:hint="eastAsia" w:ascii="方正公文小标宋" w:hAnsi="方正公文小标宋" w:eastAsia="方正公文小标宋" w:cs="方正公文小标宋"/>
          <w:sz w:val="44"/>
          <w:szCs w:val="44"/>
        </w:rPr>
      </w:pPr>
    </w:p>
    <w:p>
      <w:pPr>
        <w:widowControl w:val="0"/>
        <w:numPr>
          <w:ilvl w:val="0"/>
          <w:numId w:val="0"/>
        </w:numPr>
        <w:jc w:val="center"/>
        <w:rPr>
          <w:rFonts w:hint="eastAsia" w:ascii="方正公文小标宋" w:hAnsi="方正公文小标宋" w:eastAsia="方正公文小标宋" w:cs="方正公文小标宋"/>
          <w:sz w:val="44"/>
          <w:szCs w:val="44"/>
        </w:rPr>
      </w:pPr>
    </w:p>
    <w:p>
      <w:pPr>
        <w:widowControl w:val="0"/>
        <w:numPr>
          <w:ilvl w:val="0"/>
          <w:numId w:val="0"/>
        </w:numPr>
        <w:jc w:val="center"/>
        <w:rPr>
          <w:rFonts w:hint="eastAsia" w:ascii="方正公文小标宋" w:hAnsi="方正公文小标宋" w:eastAsia="方正公文小标宋" w:cs="方正公文小标宋"/>
          <w:sz w:val="44"/>
          <w:szCs w:val="44"/>
        </w:rPr>
      </w:pPr>
    </w:p>
    <w:p>
      <w:pPr>
        <w:widowControl w:val="0"/>
        <w:numPr>
          <w:ilvl w:val="0"/>
          <w:numId w:val="0"/>
        </w:numPr>
        <w:jc w:val="center"/>
        <w:rPr>
          <w:rFonts w:hint="eastAsia" w:ascii="方正公文小标宋" w:hAnsi="方正公文小标宋" w:eastAsia="方正公文小标宋" w:cs="方正公文小标宋"/>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公文小标宋" w:hAnsi="方正公文小标宋" w:eastAsia="方正公文小标宋" w:cs="方正公文小标宋"/>
          <w:sz w:val="44"/>
          <w:szCs w:val="44"/>
          <w:lang w:eastAsia="zh-CN"/>
        </w:rPr>
      </w:pPr>
      <w:r>
        <w:rPr>
          <w:rFonts w:hint="eastAsia" w:ascii="方正公文小标宋" w:hAnsi="方正公文小标宋" w:eastAsia="方正公文小标宋" w:cs="方正公文小标宋"/>
          <w:sz w:val="44"/>
          <w:szCs w:val="44"/>
          <w:lang w:eastAsia="zh-CN"/>
        </w:rPr>
        <w:t>加油站诚信经营监测数据技术服务</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项目</w:t>
      </w:r>
      <w:r>
        <w:rPr>
          <w:rFonts w:hint="eastAsia" w:ascii="方正公文小标宋" w:hAnsi="方正公文小标宋" w:eastAsia="方正公文小标宋" w:cs="方正公文小标宋"/>
          <w:sz w:val="44"/>
          <w:szCs w:val="44"/>
          <w:lang w:val="en-US" w:eastAsia="zh-CN"/>
        </w:rPr>
        <w:t>竞争性磋商</w:t>
      </w:r>
      <w:r>
        <w:rPr>
          <w:rFonts w:hint="eastAsia" w:ascii="方正公文小标宋" w:hAnsi="方正公文小标宋" w:eastAsia="方正公文小标宋" w:cs="方正公文小标宋"/>
          <w:sz w:val="44"/>
          <w:szCs w:val="44"/>
        </w:rPr>
        <w:t>公告</w:t>
      </w:r>
    </w:p>
    <w:p>
      <w:pPr>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呼和浩特市</w:t>
      </w:r>
      <w:r>
        <w:rPr>
          <w:rFonts w:hint="eastAsia" w:ascii="仿宋_GB2312" w:hAnsi="仿宋_GB2312" w:eastAsia="仿宋_GB2312" w:cs="仿宋_GB2312"/>
          <w:sz w:val="32"/>
          <w:szCs w:val="32"/>
          <w:lang w:eastAsia="zh-CN"/>
        </w:rPr>
        <w:t>加油站诚信经营监测数据技术服务</w:t>
      </w:r>
      <w:r>
        <w:rPr>
          <w:rFonts w:hint="eastAsia" w:ascii="仿宋_GB2312" w:hAnsi="仿宋_GB2312" w:eastAsia="仿宋_GB2312" w:cs="仿宋_GB2312"/>
          <w:sz w:val="32"/>
          <w:szCs w:val="32"/>
        </w:rPr>
        <w:t>项目的潜在供应商应在</w:t>
      </w:r>
      <w:r>
        <w:rPr>
          <w:rFonts w:hint="eastAsia" w:ascii="仿宋_GB2312" w:hAnsi="仿宋_GB2312" w:eastAsia="仿宋_GB2312" w:cs="仿宋_GB2312"/>
          <w:color w:val="auto"/>
          <w:sz w:val="32"/>
          <w:szCs w:val="32"/>
        </w:rPr>
        <w:t>呼和浩特市</w:t>
      </w:r>
      <w:r>
        <w:rPr>
          <w:rFonts w:hint="eastAsia" w:ascii="仿宋_GB2312" w:hAnsi="仿宋_GB2312" w:eastAsia="仿宋_GB2312" w:cs="仿宋_GB2312"/>
          <w:color w:val="auto"/>
          <w:sz w:val="32"/>
          <w:szCs w:val="32"/>
          <w:lang w:val="en-US" w:eastAsia="zh-CN"/>
        </w:rPr>
        <w:t>市场监督管理局或官网</w:t>
      </w:r>
      <w:r>
        <w:rPr>
          <w:rFonts w:hint="eastAsia" w:ascii="仿宋_GB2312" w:hAnsi="仿宋_GB2312" w:eastAsia="仿宋_GB2312" w:cs="仿宋_GB2312"/>
          <w:sz w:val="32"/>
          <w:szCs w:val="32"/>
        </w:rPr>
        <w:t>获取采购文件，并于</w:t>
      </w:r>
      <w:r>
        <w:rPr>
          <w:rFonts w:hint="eastAsia" w:ascii="仿宋_GB2312" w:hAnsi="仿宋_GB2312" w:eastAsia="仿宋_GB2312" w:cs="仿宋_GB2312"/>
          <w:b w:val="0"/>
          <w:bCs w:val="0"/>
          <w:color w:val="auto"/>
          <w:sz w:val="32"/>
          <w:szCs w:val="32"/>
        </w:rPr>
        <w:t>2024年12月</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日</w:t>
      </w:r>
      <w:r>
        <w:rPr>
          <w:rFonts w:hint="eastAsia" w:ascii="仿宋_GB2312" w:hAnsi="仿宋_GB2312" w:eastAsia="仿宋_GB2312" w:cs="仿宋_GB2312"/>
          <w:b w:val="0"/>
          <w:bCs w:val="0"/>
          <w:color w:val="auto"/>
          <w:sz w:val="32"/>
          <w:szCs w:val="32"/>
          <w:lang w:val="en-US" w:eastAsia="zh-CN"/>
        </w:rPr>
        <w:t>10</w:t>
      </w:r>
      <w:r>
        <w:rPr>
          <w:rFonts w:hint="eastAsia" w:ascii="仿宋_GB2312" w:hAnsi="仿宋_GB2312" w:eastAsia="仿宋_GB2312" w:cs="仿宋_GB2312"/>
          <w:b w:val="0"/>
          <w:bCs w:val="0"/>
          <w:color w:val="auto"/>
          <w:sz w:val="32"/>
          <w:szCs w:val="32"/>
        </w:rPr>
        <w:t>时</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0分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北京时间）前提交响应文件。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rPr>
        <w:t>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项目名称：加油站诚信经营监测数据技术服务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采购方式：竞争性磋商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预算金额：</w:t>
      </w:r>
      <w:r>
        <w:rPr>
          <w:rFonts w:hint="eastAsia" w:ascii="仿宋_GB2312" w:hAnsi="仿宋_GB2312" w:eastAsia="仿宋_GB2312" w:cs="仿宋_GB2312"/>
          <w:sz w:val="32"/>
          <w:szCs w:val="32"/>
          <w:lang w:val="en-US" w:eastAsia="zh-CN"/>
        </w:rPr>
        <w:t>750</w:t>
      </w:r>
      <w:r>
        <w:rPr>
          <w:rFonts w:hint="eastAsia" w:ascii="仿宋_GB2312" w:hAnsi="仿宋_GB2312" w:eastAsia="仿宋_GB2312" w:cs="仿宋_GB2312"/>
          <w:sz w:val="32"/>
          <w:szCs w:val="32"/>
          <w:lang w:eastAsia="zh-CN"/>
        </w:rPr>
        <w:t>,000.00元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采购需求：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对呼和浩特市辖区内社会加油站开展作弊监测服务，实现计量作弊行为风险监测预警，按周/月/年推送预警信息；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预警信息分级分类弹窗反馈；作弊线索收集推送、处理反馈；运用数据对比，对加油站，进行差异化、精准化、可视化数据呈现。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对作弊数据实现实时记录，关键日志可自动截屏或屏幕录像，并自动下载保存。且所有数据保存期限不少于3年。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（四）在线自动采集、固定和储存违法行为电子证据。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合同包1(加油站诚信经营在线监测技术服务):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合同包预算金额：</w:t>
      </w:r>
      <w:r>
        <w:rPr>
          <w:rFonts w:hint="eastAsia" w:ascii="仿宋_GB2312" w:hAnsi="仿宋_GB2312" w:eastAsia="仿宋_GB2312" w:cs="仿宋_GB2312"/>
          <w:sz w:val="32"/>
          <w:szCs w:val="32"/>
          <w:lang w:val="en-US" w:eastAsia="zh-CN"/>
        </w:rPr>
        <w:t>750</w:t>
      </w:r>
      <w:r>
        <w:rPr>
          <w:rFonts w:hint="eastAsia" w:ascii="仿宋_GB2312" w:hAnsi="仿宋_GB2312" w:eastAsia="仿宋_GB2312" w:cs="仿宋_GB2312"/>
          <w:sz w:val="32"/>
          <w:szCs w:val="32"/>
          <w:lang w:eastAsia="zh-CN"/>
        </w:rPr>
        <w:t>,000.00元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p>
    <w:tbl>
      <w:tblPr>
        <w:tblStyle w:val="13"/>
        <w:tblW w:w="8677" w:type="dxa"/>
        <w:tblInd w:w="6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53"/>
        <w:gridCol w:w="1110"/>
        <w:gridCol w:w="1935"/>
        <w:gridCol w:w="1076"/>
        <w:gridCol w:w="1405"/>
        <w:gridCol w:w="1220"/>
        <w:gridCol w:w="97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80" w:hRule="atLeast"/>
        </w:trPr>
        <w:tc>
          <w:tcPr>
            <w:tcW w:w="967" w:type="dxa"/>
            <w:tcBorders>
              <w:top w:val="single" w:color="333333" w:sz="2" w:space="0"/>
              <w:left w:val="single" w:color="333333" w:sz="2" w:space="0"/>
              <w:bottom w:val="single" w:color="333333" w:sz="2" w:space="0"/>
              <w:right w:val="single" w:color="333333" w:sz="2" w:space="0"/>
            </w:tcBorders>
            <w:shd w:val="clear" w:color="auto" w:fill="FFFFFF"/>
            <w:tcMar>
              <w:top w:w="38" w:type="dxa"/>
              <w:left w:w="60" w:type="dxa"/>
              <w:bottom w:w="38" w:type="dxa"/>
              <w:right w:w="6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品目号</w:t>
            </w:r>
          </w:p>
        </w:tc>
        <w:tc>
          <w:tcPr>
            <w:tcW w:w="1131" w:type="dxa"/>
            <w:tcBorders>
              <w:top w:val="single" w:color="333333" w:sz="2" w:space="0"/>
              <w:left w:val="single" w:color="333333" w:sz="2" w:space="0"/>
              <w:bottom w:val="single" w:color="333333" w:sz="2" w:space="0"/>
              <w:right w:val="single" w:color="333333" w:sz="2" w:space="0"/>
            </w:tcBorders>
            <w:shd w:val="clear" w:color="auto" w:fill="FFFFFF"/>
            <w:tcMar>
              <w:top w:w="38" w:type="dxa"/>
              <w:left w:w="60" w:type="dxa"/>
              <w:bottom w:w="38" w:type="dxa"/>
              <w:right w:w="6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品目名称</w:t>
            </w:r>
          </w:p>
        </w:tc>
        <w:tc>
          <w:tcPr>
            <w:tcW w:w="1980" w:type="dxa"/>
            <w:tcBorders>
              <w:top w:val="single" w:color="333333" w:sz="2" w:space="0"/>
              <w:left w:val="single" w:color="333333" w:sz="2" w:space="0"/>
              <w:bottom w:val="single" w:color="333333" w:sz="2" w:space="0"/>
              <w:right w:val="single" w:color="333333" w:sz="2" w:space="0"/>
            </w:tcBorders>
            <w:shd w:val="clear" w:color="auto" w:fill="FFFFFF"/>
            <w:tcMar>
              <w:top w:w="38" w:type="dxa"/>
              <w:left w:w="60" w:type="dxa"/>
              <w:bottom w:w="38" w:type="dxa"/>
              <w:right w:w="6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采购标的</w:t>
            </w:r>
          </w:p>
        </w:tc>
        <w:tc>
          <w:tcPr>
            <w:tcW w:w="1087" w:type="dxa"/>
            <w:tcBorders>
              <w:top w:val="single" w:color="333333" w:sz="2" w:space="0"/>
              <w:left w:val="single" w:color="333333" w:sz="2" w:space="0"/>
              <w:bottom w:val="single" w:color="333333" w:sz="2" w:space="0"/>
              <w:right w:val="single" w:color="333333" w:sz="2" w:space="0"/>
            </w:tcBorders>
            <w:shd w:val="clear" w:color="auto" w:fill="FFFFFF"/>
            <w:tcMar>
              <w:top w:w="38" w:type="dxa"/>
              <w:left w:w="60" w:type="dxa"/>
              <w:bottom w:w="38" w:type="dxa"/>
              <w:right w:w="6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数量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（单位）</w:t>
            </w:r>
          </w:p>
        </w:tc>
        <w:tc>
          <w:tcPr>
            <w:tcW w:w="1428" w:type="dxa"/>
            <w:tcBorders>
              <w:top w:val="single" w:color="333333" w:sz="2" w:space="0"/>
              <w:left w:val="single" w:color="333333" w:sz="2" w:space="0"/>
              <w:bottom w:val="single" w:color="333333" w:sz="2" w:space="0"/>
              <w:right w:val="single" w:color="333333" w:sz="2" w:space="0"/>
            </w:tcBorders>
            <w:shd w:val="clear" w:color="auto" w:fill="FFFFFF"/>
            <w:tcMar>
              <w:top w:w="38" w:type="dxa"/>
              <w:left w:w="60" w:type="dxa"/>
              <w:bottom w:w="38" w:type="dxa"/>
              <w:right w:w="6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技术规格、参数及要求</w:t>
            </w:r>
          </w:p>
        </w:tc>
        <w:tc>
          <w:tcPr>
            <w:tcW w:w="1095" w:type="dxa"/>
            <w:tcBorders>
              <w:top w:val="single" w:color="333333" w:sz="2" w:space="0"/>
              <w:left w:val="single" w:color="333333" w:sz="2" w:space="0"/>
              <w:bottom w:val="single" w:color="333333" w:sz="2" w:space="0"/>
              <w:right w:val="single" w:color="333333" w:sz="2" w:space="0"/>
            </w:tcBorders>
            <w:shd w:val="clear" w:color="auto" w:fill="FFFFFF"/>
            <w:tcMar>
              <w:top w:w="38" w:type="dxa"/>
              <w:left w:w="60" w:type="dxa"/>
              <w:bottom w:w="38" w:type="dxa"/>
              <w:right w:w="6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品目预算(元)</w:t>
            </w:r>
          </w:p>
        </w:tc>
        <w:tc>
          <w:tcPr>
            <w:tcW w:w="989" w:type="dxa"/>
            <w:tcBorders>
              <w:top w:val="single" w:color="333333" w:sz="2" w:space="0"/>
              <w:left w:val="single" w:color="333333" w:sz="2" w:space="0"/>
              <w:bottom w:val="single" w:color="333333" w:sz="2" w:space="0"/>
              <w:right w:val="single" w:color="333333" w:sz="2" w:space="0"/>
            </w:tcBorders>
            <w:shd w:val="clear" w:color="auto" w:fill="FFFFFF"/>
            <w:tcMar>
              <w:top w:w="38" w:type="dxa"/>
              <w:left w:w="60" w:type="dxa"/>
              <w:bottom w:w="38" w:type="dxa"/>
              <w:right w:w="6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93" w:hRule="atLeast"/>
        </w:trPr>
        <w:tc>
          <w:tcPr>
            <w:tcW w:w="967" w:type="dxa"/>
            <w:tcBorders>
              <w:top w:val="single" w:color="333333" w:sz="2" w:space="0"/>
              <w:left w:val="single" w:color="333333" w:sz="2" w:space="0"/>
              <w:bottom w:val="single" w:color="333333" w:sz="2" w:space="0"/>
              <w:right w:val="single" w:color="333333" w:sz="2" w:space="0"/>
            </w:tcBorders>
            <w:shd w:val="clear" w:color="auto" w:fill="FFFFFF"/>
            <w:tcMar>
              <w:top w:w="38" w:type="dxa"/>
              <w:left w:w="60" w:type="dxa"/>
              <w:bottom w:w="38" w:type="dxa"/>
              <w:right w:w="60" w:type="dxa"/>
            </w:tcMar>
            <w:vAlign w:val="center"/>
          </w:tcPr>
          <w:p>
            <w:pPr>
              <w:numPr>
                <w:ilvl w:val="0"/>
                <w:numId w:val="0"/>
              </w:numPr>
              <w:ind w:left="0" w:leftChars="0" w:firstLine="0" w:firstLineChars="0"/>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1-1</w:t>
            </w:r>
          </w:p>
        </w:tc>
        <w:tc>
          <w:tcPr>
            <w:tcW w:w="1131" w:type="dxa"/>
            <w:tcBorders>
              <w:top w:val="single" w:color="333333" w:sz="2" w:space="0"/>
              <w:left w:val="single" w:color="333333" w:sz="2" w:space="0"/>
              <w:bottom w:val="single" w:color="333333" w:sz="2" w:space="0"/>
              <w:right w:val="single" w:color="333333" w:sz="2" w:space="0"/>
            </w:tcBorders>
            <w:shd w:val="clear" w:color="auto" w:fill="FFFFFF"/>
            <w:tcMar>
              <w:top w:w="38" w:type="dxa"/>
              <w:left w:w="60" w:type="dxa"/>
              <w:bottom w:w="38" w:type="dxa"/>
              <w:right w:w="6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其他信息技术服务</w:t>
            </w:r>
          </w:p>
        </w:tc>
        <w:tc>
          <w:tcPr>
            <w:tcW w:w="1980" w:type="dxa"/>
            <w:tcBorders>
              <w:top w:val="single" w:color="333333" w:sz="2" w:space="0"/>
              <w:left w:val="single" w:color="333333" w:sz="2" w:space="0"/>
              <w:bottom w:val="single" w:color="333333" w:sz="2" w:space="0"/>
              <w:right w:val="single" w:color="333333" w:sz="2" w:space="0"/>
            </w:tcBorders>
            <w:shd w:val="clear" w:color="auto" w:fill="FFFFFF"/>
            <w:tcMar>
              <w:top w:w="38" w:type="dxa"/>
              <w:left w:w="60" w:type="dxa"/>
              <w:bottom w:w="38" w:type="dxa"/>
              <w:right w:w="6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加油站诚信经营监测数据技术服务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项目</w:t>
            </w:r>
          </w:p>
        </w:tc>
        <w:tc>
          <w:tcPr>
            <w:tcW w:w="1087" w:type="dxa"/>
            <w:tcBorders>
              <w:top w:val="single" w:color="333333" w:sz="2" w:space="0"/>
              <w:left w:val="single" w:color="333333" w:sz="2" w:space="0"/>
              <w:bottom w:val="single" w:color="333333" w:sz="2" w:space="0"/>
              <w:right w:val="single" w:color="333333" w:sz="2" w:space="0"/>
            </w:tcBorders>
            <w:shd w:val="clear" w:color="auto" w:fill="FFFFFF"/>
            <w:tcMar>
              <w:top w:w="38" w:type="dxa"/>
              <w:left w:w="60" w:type="dxa"/>
              <w:bottom w:w="38" w:type="dxa"/>
              <w:right w:w="60" w:type="dxa"/>
            </w:tcMar>
            <w:vAlign w:val="center"/>
          </w:tcPr>
          <w:p>
            <w:pPr>
              <w:numPr>
                <w:ilvl w:val="0"/>
                <w:numId w:val="0"/>
              </w:numPr>
              <w:ind w:left="0" w:leftChars="0" w:firstLine="0" w:firstLineChars="0"/>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1(项)</w:t>
            </w:r>
          </w:p>
        </w:tc>
        <w:tc>
          <w:tcPr>
            <w:tcW w:w="1428" w:type="dxa"/>
            <w:tcBorders>
              <w:top w:val="single" w:color="333333" w:sz="2" w:space="0"/>
              <w:left w:val="single" w:color="333333" w:sz="2" w:space="0"/>
              <w:bottom w:val="single" w:color="333333" w:sz="2" w:space="0"/>
              <w:right w:val="single" w:color="333333" w:sz="2" w:space="0"/>
            </w:tcBorders>
            <w:shd w:val="clear" w:color="auto" w:fill="FFFFFF"/>
            <w:tcMar>
              <w:top w:w="38" w:type="dxa"/>
              <w:left w:w="60" w:type="dxa"/>
              <w:bottom w:w="38" w:type="dxa"/>
              <w:right w:w="6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详见采购</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文件</w:t>
            </w:r>
          </w:p>
        </w:tc>
        <w:tc>
          <w:tcPr>
            <w:tcW w:w="1095" w:type="dxa"/>
            <w:tcBorders>
              <w:top w:val="single" w:color="333333" w:sz="2" w:space="0"/>
              <w:left w:val="single" w:color="333333" w:sz="2" w:space="0"/>
              <w:bottom w:val="single" w:color="333333" w:sz="2" w:space="0"/>
              <w:right w:val="single" w:color="333333" w:sz="2" w:space="0"/>
            </w:tcBorders>
            <w:shd w:val="clear" w:color="auto" w:fill="FFFFFF"/>
            <w:tcMar>
              <w:top w:w="38" w:type="dxa"/>
              <w:left w:w="60" w:type="dxa"/>
              <w:bottom w:w="38" w:type="dxa"/>
              <w:right w:w="6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750,000.00</w:t>
            </w:r>
          </w:p>
        </w:tc>
        <w:tc>
          <w:tcPr>
            <w:tcW w:w="989" w:type="dxa"/>
            <w:tcBorders>
              <w:top w:val="single" w:color="333333" w:sz="2" w:space="0"/>
              <w:left w:val="single" w:color="333333" w:sz="2" w:space="0"/>
              <w:bottom w:val="single" w:color="333333" w:sz="2" w:space="0"/>
              <w:right w:val="single" w:color="333333" w:sz="2" w:space="0"/>
            </w:tcBorders>
            <w:shd w:val="clear" w:color="auto" w:fill="FFFFFF"/>
            <w:tcMar>
              <w:top w:w="38" w:type="dxa"/>
              <w:left w:w="60" w:type="dxa"/>
              <w:bottom w:w="38" w:type="dxa"/>
              <w:right w:w="60" w:type="dxa"/>
            </w:tcMar>
            <w:vAlign w:val="center"/>
          </w:tcPr>
          <w:p>
            <w:pPr>
              <w:numPr>
                <w:ilvl w:val="0"/>
                <w:numId w:val="0"/>
              </w:numPr>
              <w:ind w:left="0" w:leftChars="0" w:firstLine="0" w:firstLineChars="0"/>
              <w:jc w:val="center"/>
              <w:rPr>
                <w:rFonts w:hint="eastAsia" w:ascii="仿宋_GB2312" w:hAnsi="仿宋_GB2312" w:eastAsia="仿宋_GB2312" w:cs="仿宋_GB2312"/>
                <w:sz w:val="22"/>
                <w:szCs w:val="22"/>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本项目不接受联合体投标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合同履行期限：自合同签订之日起12个月。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二、申请人的资格要求：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1.满足《中华人民共和国政府采购法》第二十二条规定：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（1）具有独立承担民事责任的能力；</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（2）具有良好的商业信誉和健全的财务会计制度；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（3）具有履行合同所必需的设备和专业技术能力；</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（4）有依法缴纳税收和社会保障资金的良好记录；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（5）参加政府采购活动前三年内，在经营活动中没有重大违法记录；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（6）法律、行政法规规定的其他条件。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2.供应商应为能够提供本地化服务、具备加油机计量作弊检测发现能力（附证明材料）的单位。</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.落实政府采购政策需满足的资格要求：无。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三、获取采购文件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符合上述条件的供应商可在2024年1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lang w:eastAsia="zh-CN"/>
        </w:rPr>
        <w:t>日至2024年12月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日，每天上午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:00:00至12:00:00，下午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lang w:eastAsia="zh-CN"/>
        </w:rPr>
        <w:t>:00:00至</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lang w:eastAsia="zh-CN"/>
        </w:rPr>
        <w:t>（北京时间,法定节假日除外）到</w:t>
      </w:r>
      <w:r>
        <w:rPr>
          <w:rFonts w:hint="eastAsia" w:ascii="仿宋_GB2312" w:hAnsi="仿宋_GB2312" w:eastAsia="仿宋_GB2312" w:cs="仿宋_GB2312"/>
          <w:sz w:val="32"/>
          <w:szCs w:val="32"/>
          <w:lang w:val="en-US" w:eastAsia="zh-CN"/>
        </w:rPr>
        <w:t>呼和浩特市市场监督管理局</w:t>
      </w:r>
      <w:r>
        <w:rPr>
          <w:rFonts w:hint="eastAsia" w:ascii="仿宋_GB2312" w:hAnsi="仿宋_GB2312" w:eastAsia="仿宋_GB2312" w:cs="仿宋_GB2312"/>
          <w:sz w:val="32"/>
          <w:szCs w:val="32"/>
          <w:lang w:eastAsia="zh-CN"/>
        </w:rPr>
        <w:t>递交材料，或在呼和浩特市市场监督管理局官网（“http://scjgj.huhhot.gov.cn/”）网上下载本项目竞争性磋商文件以及补遗等磋商前公布的所有项目资料，无论供应商下载与否，均视为已知晓所有磋商实质性要求内容。提交材料时需要提供以下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响应文件；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报名人出示身份证原件，提供复印件；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.报名人出具经法定代表人签字、公司盖章的“授权委托书”；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.提供加盖投标企业公章的营业执照副本复印件；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其他材料</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提供参加政府采购活动前3年内在经营活动中没有重大违法记录的书面声明原件（重大违法记录，是指投标方因违法经营受到刑事处罚或者责令停产停业、吊销许可证或者执照、较大数额罚款等行政处罚）。</w:t>
      </w:r>
      <w:r>
        <w:rPr>
          <w:rFonts w:hint="eastAsia" w:ascii="仿宋_GB2312" w:hAnsi="仿宋_GB2312" w:eastAsia="仿宋_GB2312" w:cs="仿宋_GB2312"/>
          <w:sz w:val="32"/>
          <w:szCs w:val="32"/>
          <w:lang w:val="en-US" w:eastAsia="zh-CN"/>
        </w:rPr>
        <w:t>供应商能够提供本地化服务、具备加油机计量作弊检测发现能力（附证明材料）的证明材料。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注：以上资质材料报名时提供原件（副本）</w:t>
      </w:r>
      <w:r>
        <w:rPr>
          <w:rFonts w:hint="eastAsia" w:ascii="仿宋_GB2312" w:hAnsi="仿宋_GB2312" w:eastAsia="仿宋_GB2312" w:cs="仿宋_GB2312"/>
          <w:sz w:val="32"/>
          <w:szCs w:val="32"/>
          <w:lang w:val="en-US" w:eastAsia="zh-CN"/>
        </w:rPr>
        <w:t>备查</w:t>
      </w:r>
      <w:r>
        <w:rPr>
          <w:rFonts w:hint="eastAsia" w:ascii="仿宋_GB2312" w:hAnsi="仿宋_GB2312" w:eastAsia="仿宋_GB2312" w:cs="仿宋_GB2312"/>
          <w:sz w:val="32"/>
          <w:szCs w:val="32"/>
          <w:lang w:eastAsia="zh-CN"/>
        </w:rPr>
        <w:t>，同时提供</w:t>
      </w:r>
      <w:r>
        <w:rPr>
          <w:rFonts w:hint="eastAsia" w:ascii="仿宋_GB2312" w:hAnsi="仿宋_GB2312" w:eastAsia="仿宋_GB2312" w:cs="仿宋_GB2312"/>
          <w:sz w:val="32"/>
          <w:szCs w:val="32"/>
          <w:lang w:val="en-US" w:eastAsia="zh-CN"/>
        </w:rPr>
        <w:t>两</w:t>
      </w:r>
      <w:r>
        <w:rPr>
          <w:rFonts w:hint="eastAsia" w:ascii="仿宋_GB2312" w:hAnsi="仿宋_GB2312" w:eastAsia="仿宋_GB2312" w:cs="仿宋_GB2312"/>
          <w:sz w:val="32"/>
          <w:szCs w:val="32"/>
          <w:lang w:eastAsia="zh-CN"/>
        </w:rPr>
        <w:t>份复印件装订成册，加盖公司公章，彩喷件无效，资料不全或不按要求提供者均不予接收。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四、响应文件提交时间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递交投标（响应）文件截止时间：2024年12月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时</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eastAsia="zh-CN"/>
        </w:rPr>
        <w:t>分（北京时间）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地点：</w:t>
      </w:r>
      <w:r>
        <w:rPr>
          <w:rFonts w:hint="eastAsia" w:ascii="仿宋_GB2312" w:hAnsi="仿宋_GB2312" w:eastAsia="仿宋_GB2312" w:cs="仿宋_GB2312"/>
          <w:sz w:val="32"/>
          <w:szCs w:val="32"/>
          <w:lang w:val="en-US" w:eastAsia="zh-CN"/>
        </w:rPr>
        <w:t>呼和浩特市市场监督管理局（呼和浩特市新城区机场高速路57号水岸小镇G区4号楼8楼816室）</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五、开启时间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时间：2024年12月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eastAsia="zh-CN"/>
        </w:rPr>
        <w:t>时</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0分00秒（北京时间）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地点：</w:t>
      </w:r>
      <w:r>
        <w:rPr>
          <w:rFonts w:hint="eastAsia" w:ascii="仿宋_GB2312" w:hAnsi="仿宋_GB2312" w:eastAsia="仿宋_GB2312" w:cs="仿宋_GB2312"/>
          <w:sz w:val="32"/>
          <w:szCs w:val="32"/>
          <w:lang w:val="en-US" w:eastAsia="zh-CN"/>
        </w:rPr>
        <w:t>呼和浩特市市场监督管理局（呼和浩特市新城区机场高速路57号水岸小镇G区4号楼会议室）</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2"/>
          <w:sz w:val="32"/>
          <w:szCs w:val="32"/>
          <w:lang w:val="en-US" w:eastAsia="zh-CN" w:bidi="ar-SA"/>
        </w:rPr>
        <w:t>六、公告期限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自本公告</w:t>
      </w:r>
      <w:r>
        <w:rPr>
          <w:rFonts w:hint="eastAsia" w:ascii="仿宋_GB2312" w:hAnsi="仿宋_GB2312" w:eastAsia="仿宋_GB2312" w:cs="仿宋_GB2312"/>
          <w:sz w:val="32"/>
          <w:szCs w:val="32"/>
          <w:lang w:eastAsia="zh-CN"/>
        </w:rPr>
        <w:t>发布之日起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七、其他补充事宜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30" w:leftChars="0"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1.标书费用：本项目不收取标书费用。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3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2.评标方法：综合评标法。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3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3.投标保证金：本项目不收取投标保证金。</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八、凡对本次采购提出询问，请按以下方式联系。</w:t>
      </w:r>
      <w:r>
        <w:rPr>
          <w:rFonts w:hint="eastAsia" w:ascii="黑体" w:hAnsi="黑体" w:eastAsia="黑体" w:cs="黑体"/>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30" w:leftChars="0"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1.采购人信息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30" w:leftChars="0"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名称：呼和浩特市市场监督管理局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30" w:leftChars="0"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地址：呼和浩特市新城区水岸小镇</w:t>
      </w:r>
      <w:r>
        <w:rPr>
          <w:rFonts w:hint="eastAsia" w:ascii="仿宋_GB2312" w:hAnsi="仿宋_GB2312" w:eastAsia="仿宋_GB2312" w:cs="仿宋_GB2312"/>
          <w:sz w:val="32"/>
          <w:szCs w:val="32"/>
          <w:lang w:val="en-US" w:eastAsia="zh-CN"/>
        </w:rPr>
        <w:t>G区4号楼8楼816房间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30" w:leftChars="0"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联系方式：</w:t>
      </w:r>
      <w:r>
        <w:rPr>
          <w:rFonts w:hint="eastAsia" w:ascii="仿宋_GB2312" w:hAnsi="仿宋_GB2312" w:eastAsia="仿宋_GB2312" w:cs="仿宋_GB2312"/>
          <w:sz w:val="32"/>
          <w:szCs w:val="32"/>
          <w:lang w:val="en-US" w:eastAsia="zh-CN"/>
        </w:rPr>
        <w:t>0471-5699711</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30" w:leftChars="0"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2.项目联系方式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30" w:leftChars="0"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项目联系人：包东升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30" w:leftChars="0"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电话：</w:t>
      </w:r>
      <w:r>
        <w:rPr>
          <w:rFonts w:hint="eastAsia" w:ascii="仿宋_GB2312" w:hAnsi="仿宋_GB2312" w:eastAsia="仿宋_GB2312" w:cs="仿宋_GB2312"/>
          <w:sz w:val="32"/>
          <w:szCs w:val="32"/>
          <w:lang w:val="en-US" w:eastAsia="zh-CN"/>
        </w:rPr>
        <w:t>1593419111</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30" w:leftChars="0" w:firstLine="0" w:firstLineChars="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30" w:leftChars="0" w:firstLine="0" w:firstLineChars="0"/>
        <w:textAlignment w:val="auto"/>
        <w:rPr>
          <w:rFonts w:hint="eastAsia" w:ascii="仿宋_GB2312" w:hAnsi="仿宋_GB2312" w:eastAsia="仿宋_GB2312" w:cs="仿宋_GB2312"/>
          <w:sz w:val="32"/>
          <w:szCs w:val="32"/>
          <w:lang w:eastAsia="zh-CN"/>
        </w:rPr>
      </w:pPr>
    </w:p>
    <w:p>
      <w:pPr>
        <w:numPr>
          <w:ilvl w:val="0"/>
          <w:numId w:val="0"/>
        </w:numPr>
        <w:ind w:left="630" w:leftChars="0" w:firstLine="0" w:firstLineChars="0"/>
        <w:rPr>
          <w:rFonts w:hint="eastAsia" w:ascii="仿宋_GB2312" w:hAnsi="仿宋_GB2312" w:eastAsia="仿宋_GB2312" w:cs="仿宋_GB2312"/>
          <w:sz w:val="32"/>
          <w:szCs w:val="32"/>
          <w:lang w:eastAsia="zh-CN"/>
        </w:rPr>
      </w:pPr>
    </w:p>
    <w:p>
      <w:pPr>
        <w:numPr>
          <w:ilvl w:val="0"/>
          <w:numId w:val="0"/>
        </w:numPr>
        <w:ind w:left="630" w:leftChars="0" w:firstLine="0" w:firstLineChars="0"/>
        <w:rPr>
          <w:rFonts w:hint="eastAsia" w:ascii="仿宋_GB2312" w:hAnsi="仿宋_GB2312" w:eastAsia="仿宋_GB2312" w:cs="仿宋_GB2312"/>
          <w:sz w:val="32"/>
          <w:szCs w:val="32"/>
          <w:lang w:eastAsia="zh-CN"/>
        </w:rPr>
      </w:pPr>
    </w:p>
    <w:p>
      <w:pPr>
        <w:numPr>
          <w:ilvl w:val="0"/>
          <w:numId w:val="0"/>
        </w:numPr>
        <w:ind w:left="630" w:leftChars="0" w:firstLine="0" w:firstLineChars="0"/>
        <w:rPr>
          <w:rFonts w:hint="eastAsia" w:ascii="仿宋_GB2312" w:hAnsi="仿宋_GB2312" w:eastAsia="仿宋_GB2312" w:cs="仿宋_GB2312"/>
          <w:sz w:val="32"/>
          <w:szCs w:val="32"/>
          <w:lang w:eastAsia="zh-CN"/>
        </w:rPr>
      </w:pPr>
    </w:p>
    <w:p>
      <w:pPr>
        <w:numPr>
          <w:ilvl w:val="0"/>
          <w:numId w:val="0"/>
        </w:numPr>
        <w:ind w:left="630" w:leftChars="0" w:firstLine="0" w:firstLineChars="0"/>
        <w:rPr>
          <w:rFonts w:hint="eastAsia" w:ascii="仿宋_GB2312" w:hAnsi="仿宋_GB2312" w:eastAsia="仿宋_GB2312" w:cs="仿宋_GB2312"/>
          <w:sz w:val="32"/>
          <w:szCs w:val="32"/>
          <w:lang w:eastAsia="zh-CN"/>
        </w:rPr>
      </w:pPr>
    </w:p>
    <w:p>
      <w:pPr>
        <w:numPr>
          <w:ilvl w:val="0"/>
          <w:numId w:val="0"/>
        </w:numPr>
        <w:ind w:left="630" w:leftChars="0" w:firstLine="0" w:firstLineChars="0"/>
        <w:rPr>
          <w:rFonts w:hint="eastAsia" w:ascii="仿宋_GB2312" w:hAnsi="仿宋_GB2312" w:eastAsia="仿宋_GB2312" w:cs="仿宋_GB2312"/>
          <w:sz w:val="32"/>
          <w:szCs w:val="32"/>
          <w:lang w:eastAsia="zh-CN"/>
        </w:rPr>
      </w:pPr>
    </w:p>
    <w:p>
      <w:pPr>
        <w:numPr>
          <w:ilvl w:val="0"/>
          <w:numId w:val="0"/>
        </w:numPr>
        <w:ind w:left="630" w:leftChars="0" w:firstLine="0" w:firstLineChars="0"/>
        <w:rPr>
          <w:rFonts w:hint="eastAsia" w:ascii="仿宋_GB2312" w:hAnsi="仿宋_GB2312" w:eastAsia="仿宋_GB2312" w:cs="仿宋_GB2312"/>
          <w:sz w:val="32"/>
          <w:szCs w:val="32"/>
          <w:lang w:eastAsia="zh-CN"/>
        </w:rPr>
      </w:pPr>
    </w:p>
    <w:p>
      <w:pPr>
        <w:numPr>
          <w:ilvl w:val="0"/>
          <w:numId w:val="0"/>
        </w:numPr>
        <w:ind w:left="630" w:leftChars="0" w:firstLine="0" w:firstLineChars="0"/>
        <w:rPr>
          <w:rFonts w:hint="eastAsia" w:ascii="仿宋_GB2312" w:hAnsi="仿宋_GB2312" w:eastAsia="仿宋_GB2312" w:cs="仿宋_GB2312"/>
          <w:sz w:val="32"/>
          <w:szCs w:val="32"/>
          <w:lang w:eastAsia="zh-CN"/>
        </w:rPr>
      </w:pPr>
    </w:p>
    <w:p>
      <w:pPr>
        <w:numPr>
          <w:ilvl w:val="0"/>
          <w:numId w:val="0"/>
        </w:numPr>
        <w:ind w:left="630" w:leftChars="0" w:firstLine="0" w:firstLineChars="0"/>
        <w:rPr>
          <w:rFonts w:hint="eastAsia" w:ascii="仿宋_GB2312" w:hAnsi="仿宋_GB2312" w:eastAsia="仿宋_GB2312" w:cs="仿宋_GB2312"/>
          <w:sz w:val="32"/>
          <w:szCs w:val="32"/>
          <w:lang w:eastAsia="zh-CN"/>
        </w:rPr>
      </w:pPr>
    </w:p>
    <w:p>
      <w:pPr>
        <w:numPr>
          <w:ilvl w:val="0"/>
          <w:numId w:val="0"/>
        </w:numPr>
        <w:rPr>
          <w:rFonts w:hint="eastAsia" w:ascii="仿宋_GB2312" w:hAnsi="仿宋_GB2312" w:eastAsia="仿宋_GB2312" w:cs="仿宋_GB2312"/>
          <w:sz w:val="32"/>
          <w:szCs w:val="32"/>
          <w:lang w:eastAsia="zh-CN"/>
        </w:rPr>
      </w:pPr>
    </w:p>
    <w:p>
      <w:pPr>
        <w:numPr>
          <w:ilvl w:val="0"/>
          <w:numId w:val="0"/>
        </w:numPr>
        <w:ind w:left="630" w:leftChars="0" w:firstLine="0" w:firstLineChars="0"/>
        <w:rPr>
          <w:rFonts w:hint="eastAsia" w:ascii="仿宋_GB2312" w:hAnsi="仿宋_GB2312" w:eastAsia="仿宋_GB2312" w:cs="仿宋_GB2312"/>
          <w:sz w:val="32"/>
          <w:szCs w:val="32"/>
          <w:lang w:eastAsia="zh-CN"/>
        </w:rPr>
      </w:pPr>
    </w:p>
    <w:p>
      <w:pPr>
        <w:numPr>
          <w:ilvl w:val="0"/>
          <w:numId w:val="0"/>
        </w:numPr>
        <w:ind w:left="630" w:leftChars="0" w:firstLine="0" w:firstLineChars="0"/>
        <w:rPr>
          <w:rFonts w:hint="eastAsia" w:ascii="仿宋_GB2312" w:hAnsi="仿宋_GB2312" w:eastAsia="仿宋_GB2312" w:cs="仿宋_GB2312"/>
          <w:sz w:val="32"/>
          <w:szCs w:val="32"/>
          <w:lang w:eastAsia="zh-CN"/>
        </w:rPr>
      </w:pPr>
    </w:p>
    <w:p>
      <w:pPr>
        <w:numPr>
          <w:ilvl w:val="0"/>
          <w:numId w:val="0"/>
        </w:numPr>
        <w:ind w:left="630" w:leftChars="0" w:firstLine="0" w:firstLineChars="0"/>
        <w:rPr>
          <w:rFonts w:hint="eastAsia" w:ascii="仿宋_GB2312" w:hAnsi="仿宋_GB2312" w:eastAsia="仿宋_GB2312" w:cs="仿宋_GB2312"/>
          <w:sz w:val="32"/>
          <w:szCs w:val="32"/>
          <w:lang w:eastAsia="zh-CN"/>
        </w:rPr>
      </w:pPr>
    </w:p>
    <w:p>
      <w:pPr>
        <w:numPr>
          <w:ilvl w:val="0"/>
          <w:numId w:val="0"/>
        </w:numPr>
        <w:ind w:left="630" w:leftChars="0" w:firstLine="0" w:firstLineChars="0"/>
        <w:rPr>
          <w:rFonts w:hint="eastAsia" w:ascii="仿宋_GB2312" w:hAnsi="仿宋_GB2312" w:eastAsia="仿宋_GB2312" w:cs="仿宋_GB2312"/>
          <w:sz w:val="32"/>
          <w:szCs w:val="32"/>
          <w:lang w:eastAsia="zh-CN"/>
        </w:rPr>
      </w:pPr>
    </w:p>
    <w:p>
      <w:pPr>
        <w:numPr>
          <w:ilvl w:val="0"/>
          <w:numId w:val="0"/>
        </w:numPr>
        <w:rPr>
          <w:rFonts w:hint="eastAsia" w:ascii="仿宋_GB2312" w:hAnsi="仿宋_GB2312" w:eastAsia="仿宋_GB2312" w:cs="仿宋_GB2312"/>
          <w:sz w:val="32"/>
          <w:szCs w:val="32"/>
          <w:lang w:eastAsia="zh-CN"/>
        </w:rPr>
      </w:pPr>
    </w:p>
    <w:p>
      <w:pPr>
        <w:numPr>
          <w:ilvl w:val="0"/>
          <w:numId w:val="0"/>
        </w:numPr>
        <w:ind w:left="630" w:leftChars="0" w:firstLine="0" w:firstLineChars="0"/>
        <w:rPr>
          <w:rFonts w:hint="eastAsia" w:ascii="仿宋_GB2312" w:hAnsi="仿宋_GB2312" w:eastAsia="仿宋_GB2312" w:cs="仿宋_GB2312"/>
          <w:sz w:val="32"/>
          <w:szCs w:val="32"/>
          <w:lang w:eastAsia="zh-CN"/>
        </w:rPr>
      </w:pPr>
    </w:p>
    <w:p>
      <w:pPr>
        <w:numPr>
          <w:ilvl w:val="0"/>
          <w:numId w:val="0"/>
        </w:numPr>
        <w:ind w:left="630" w:leftChars="0" w:firstLine="0" w:firstLineChars="0"/>
        <w:rPr>
          <w:rFonts w:hint="eastAsia" w:ascii="仿宋_GB2312" w:hAnsi="仿宋_GB2312" w:eastAsia="仿宋_GB2312" w:cs="仿宋_GB2312"/>
          <w:sz w:val="32"/>
          <w:szCs w:val="32"/>
          <w:lang w:eastAsia="zh-CN"/>
        </w:rPr>
      </w:pPr>
    </w:p>
    <w:p>
      <w:pPr>
        <w:numPr>
          <w:ilvl w:val="0"/>
          <w:numId w:val="0"/>
        </w:numPr>
        <w:ind w:left="630" w:leftChars="0" w:firstLine="0" w:firstLineChars="0"/>
        <w:rPr>
          <w:rFonts w:hint="eastAsia" w:ascii="仿宋_GB2312" w:hAnsi="仿宋_GB2312" w:eastAsia="仿宋_GB2312" w:cs="仿宋_GB2312"/>
          <w:sz w:val="32"/>
          <w:szCs w:val="32"/>
          <w:lang w:eastAsia="zh-CN"/>
        </w:rPr>
      </w:pPr>
    </w:p>
    <w:p>
      <w:pPr>
        <w:numPr>
          <w:ilvl w:val="0"/>
          <w:numId w:val="0"/>
        </w:numPr>
        <w:ind w:left="630" w:leftChars="0" w:firstLine="0" w:firstLineChars="0"/>
        <w:rPr>
          <w:rFonts w:hint="eastAsia" w:ascii="仿宋_GB2312" w:hAnsi="仿宋_GB2312" w:eastAsia="仿宋_GB2312" w:cs="仿宋_GB2312"/>
          <w:sz w:val="32"/>
          <w:szCs w:val="32"/>
          <w:lang w:eastAsia="zh-CN"/>
        </w:rPr>
      </w:pPr>
    </w:p>
    <w:p>
      <w:pPr>
        <w:numPr>
          <w:ilvl w:val="0"/>
          <w:numId w:val="0"/>
        </w:numPr>
        <w:ind w:left="630" w:leftChars="0" w:firstLine="0" w:firstLineChars="0"/>
        <w:rPr>
          <w:rFonts w:hint="eastAsia" w:ascii="仿宋_GB2312" w:hAnsi="仿宋_GB2312" w:eastAsia="仿宋_GB2312" w:cs="仿宋_GB2312"/>
          <w:sz w:val="32"/>
          <w:szCs w:val="32"/>
          <w:lang w:eastAsia="zh-CN"/>
        </w:rPr>
      </w:pPr>
    </w:p>
    <w:p>
      <w:pPr>
        <w:numPr>
          <w:ilvl w:val="0"/>
          <w:numId w:val="1"/>
        </w:numPr>
        <w:ind w:left="0" w:leftChars="0" w:firstLine="0" w:firstLineChars="0"/>
        <w:jc w:val="center"/>
        <w:rPr>
          <w:rFonts w:hint="eastAsia" w:ascii="方正公文小标宋" w:hAnsi="方正公文小标宋" w:eastAsia="方正公文小标宋" w:cs="方正公文小标宋"/>
          <w:sz w:val="44"/>
          <w:szCs w:val="44"/>
        </w:rPr>
      </w:pPr>
      <w:bookmarkStart w:id="0" w:name="_Toc29950"/>
      <w:r>
        <w:rPr>
          <w:rFonts w:hint="eastAsia" w:ascii="方正公文小标宋" w:hAnsi="方正公文小标宋" w:eastAsia="方正公文小标宋" w:cs="方正公文小标宋"/>
          <w:sz w:val="44"/>
          <w:szCs w:val="44"/>
        </w:rPr>
        <w:t>磋商供应商须知</w:t>
      </w:r>
      <w:bookmarkEnd w:id="0"/>
    </w:p>
    <w:p>
      <w:pPr>
        <w:widowControl w:val="0"/>
        <w:numPr>
          <w:ilvl w:val="0"/>
          <w:numId w:val="0"/>
        </w:numPr>
        <w:jc w:val="center"/>
        <w:rPr>
          <w:rFonts w:hint="eastAsia" w:ascii="方正公文小标宋" w:hAnsi="方正公文小标宋" w:eastAsia="方正公文小标宋" w:cs="方正公文小标宋"/>
          <w:sz w:val="44"/>
          <w:szCs w:val="44"/>
        </w:rPr>
      </w:pPr>
    </w:p>
    <w:p>
      <w:pPr>
        <w:widowControl w:val="0"/>
        <w:numPr>
          <w:ilvl w:val="0"/>
          <w:numId w:val="0"/>
        </w:numPr>
        <w:jc w:val="center"/>
        <w:rPr>
          <w:rFonts w:hint="eastAsia" w:ascii="方正公文小标宋" w:hAnsi="方正公文小标宋" w:eastAsia="方正公文小标宋" w:cs="方正公文小标宋"/>
          <w:sz w:val="44"/>
          <w:szCs w:val="44"/>
        </w:rPr>
      </w:pPr>
    </w:p>
    <w:p>
      <w:pPr>
        <w:widowControl w:val="0"/>
        <w:numPr>
          <w:ilvl w:val="0"/>
          <w:numId w:val="0"/>
        </w:numPr>
        <w:jc w:val="center"/>
        <w:rPr>
          <w:rFonts w:hint="eastAsia" w:ascii="方正公文小标宋" w:hAnsi="方正公文小标宋" w:eastAsia="方正公文小标宋" w:cs="方正公文小标宋"/>
          <w:sz w:val="44"/>
          <w:szCs w:val="44"/>
        </w:rPr>
      </w:pPr>
    </w:p>
    <w:p>
      <w:pPr>
        <w:widowControl w:val="0"/>
        <w:numPr>
          <w:ilvl w:val="0"/>
          <w:numId w:val="0"/>
        </w:numPr>
        <w:jc w:val="center"/>
        <w:rPr>
          <w:rFonts w:hint="eastAsia" w:ascii="方正公文小标宋" w:hAnsi="方正公文小标宋" w:eastAsia="方正公文小标宋" w:cs="方正公文小标宋"/>
          <w:sz w:val="44"/>
          <w:szCs w:val="44"/>
        </w:rPr>
      </w:pPr>
    </w:p>
    <w:p>
      <w:pPr>
        <w:widowControl w:val="0"/>
        <w:numPr>
          <w:ilvl w:val="0"/>
          <w:numId w:val="0"/>
        </w:numPr>
        <w:jc w:val="center"/>
        <w:rPr>
          <w:rFonts w:hint="eastAsia" w:ascii="方正公文小标宋" w:hAnsi="方正公文小标宋" w:eastAsia="方正公文小标宋" w:cs="方正公文小标宋"/>
          <w:sz w:val="44"/>
          <w:szCs w:val="44"/>
        </w:rPr>
      </w:pPr>
    </w:p>
    <w:p>
      <w:pPr>
        <w:widowControl w:val="0"/>
        <w:numPr>
          <w:ilvl w:val="0"/>
          <w:numId w:val="0"/>
        </w:numPr>
        <w:jc w:val="center"/>
        <w:rPr>
          <w:rFonts w:hint="eastAsia" w:ascii="方正公文小标宋" w:hAnsi="方正公文小标宋" w:eastAsia="方正公文小标宋" w:cs="方正公文小标宋"/>
          <w:sz w:val="44"/>
          <w:szCs w:val="44"/>
        </w:rPr>
      </w:pPr>
    </w:p>
    <w:p>
      <w:pPr>
        <w:widowControl w:val="0"/>
        <w:numPr>
          <w:ilvl w:val="0"/>
          <w:numId w:val="0"/>
        </w:numPr>
        <w:jc w:val="center"/>
        <w:rPr>
          <w:rFonts w:hint="eastAsia" w:ascii="方正公文小标宋" w:hAnsi="方正公文小标宋" w:eastAsia="方正公文小标宋" w:cs="方正公文小标宋"/>
          <w:sz w:val="44"/>
          <w:szCs w:val="44"/>
        </w:rPr>
      </w:pPr>
    </w:p>
    <w:p>
      <w:pPr>
        <w:widowControl w:val="0"/>
        <w:numPr>
          <w:ilvl w:val="0"/>
          <w:numId w:val="0"/>
        </w:numPr>
        <w:jc w:val="center"/>
        <w:rPr>
          <w:rFonts w:hint="eastAsia" w:ascii="方正公文小标宋" w:hAnsi="方正公文小标宋" w:eastAsia="方正公文小标宋" w:cs="方正公文小标宋"/>
          <w:sz w:val="44"/>
          <w:szCs w:val="44"/>
        </w:rPr>
      </w:pPr>
    </w:p>
    <w:p>
      <w:pPr>
        <w:widowControl w:val="0"/>
        <w:numPr>
          <w:ilvl w:val="0"/>
          <w:numId w:val="0"/>
        </w:numPr>
        <w:jc w:val="both"/>
        <w:rPr>
          <w:rFonts w:hint="eastAsia" w:ascii="方正公文小标宋" w:hAnsi="方正公文小标宋" w:eastAsia="方正公文小标宋" w:cs="方正公文小标宋"/>
          <w:sz w:val="44"/>
          <w:szCs w:val="44"/>
        </w:rPr>
      </w:pPr>
    </w:p>
    <w:p>
      <w:pPr>
        <w:spacing w:line="360" w:lineRule="auto"/>
        <w:jc w:val="center"/>
        <w:outlineLvl w:val="1"/>
        <w:rPr>
          <w:rFonts w:hint="eastAsia" w:ascii="宋体" w:hAnsi="宋体" w:cs="宋体"/>
          <w:b/>
          <w:bCs/>
          <w:kern w:val="0"/>
          <w:sz w:val="32"/>
          <w:szCs w:val="32"/>
        </w:rPr>
      </w:pPr>
      <w:bookmarkStart w:id="1" w:name="_Toc5194"/>
      <w:r>
        <w:rPr>
          <w:rFonts w:hint="eastAsia" w:ascii="宋体" w:hAnsi="宋体" w:cs="宋体"/>
          <w:b/>
          <w:bCs/>
          <w:kern w:val="0"/>
          <w:sz w:val="32"/>
          <w:szCs w:val="32"/>
          <w:lang w:val="en-US" w:eastAsia="zh-CN"/>
        </w:rPr>
        <w:t>一、</w:t>
      </w:r>
      <w:r>
        <w:rPr>
          <w:rFonts w:hint="eastAsia" w:ascii="宋体" w:hAnsi="宋体" w:cs="宋体"/>
          <w:b/>
          <w:bCs/>
          <w:kern w:val="0"/>
          <w:sz w:val="32"/>
          <w:szCs w:val="32"/>
        </w:rPr>
        <w:t>前附表</w:t>
      </w:r>
      <w:bookmarkEnd w:id="1"/>
    </w:p>
    <w:tbl>
      <w:tblPr>
        <w:tblStyle w:val="13"/>
        <w:tblW w:w="96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8"/>
        <w:gridCol w:w="1868"/>
        <w:gridCol w:w="69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序号</w:t>
            </w:r>
          </w:p>
        </w:tc>
        <w:tc>
          <w:tcPr>
            <w:tcW w:w="1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项目</w:t>
            </w:r>
          </w:p>
        </w:tc>
        <w:tc>
          <w:tcPr>
            <w:tcW w:w="6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1</w:t>
            </w:r>
          </w:p>
        </w:tc>
        <w:tc>
          <w:tcPr>
            <w:tcW w:w="1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项目名称</w:t>
            </w:r>
          </w:p>
        </w:tc>
        <w:tc>
          <w:tcPr>
            <w:tcW w:w="6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加油站诚信经营监测数据技术服务项目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cs="宋体"/>
                <w:sz w:val="28"/>
                <w:szCs w:val="28"/>
              </w:rPr>
            </w:pPr>
            <w:r>
              <w:rPr>
                <w:rFonts w:hint="eastAsia" w:ascii="宋体" w:hAnsi="宋体" w:cs="宋体"/>
                <w:sz w:val="28"/>
                <w:szCs w:val="28"/>
              </w:rPr>
              <w:t>2</w:t>
            </w:r>
          </w:p>
        </w:tc>
        <w:tc>
          <w:tcPr>
            <w:tcW w:w="1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CESI仿宋-GB2312" w:hAnsi="CESI仿宋-GB2312" w:eastAsia="CESI仿宋-GB2312" w:cs="CESI仿宋-GB2312"/>
                <w:kern w:val="2"/>
                <w:sz w:val="28"/>
                <w:szCs w:val="28"/>
                <w:lang w:val="en-US" w:eastAsia="zh-CN" w:bidi="ar-SA"/>
              </w:rPr>
            </w:pPr>
            <w:r>
              <w:rPr>
                <w:rFonts w:hint="eastAsia" w:ascii="CESI仿宋-GB2312" w:hAnsi="CESI仿宋-GB2312" w:eastAsia="CESI仿宋-GB2312" w:cs="CESI仿宋-GB2312"/>
                <w:sz w:val="28"/>
                <w:szCs w:val="28"/>
              </w:rPr>
              <w:t>服务期</w:t>
            </w:r>
          </w:p>
        </w:tc>
        <w:tc>
          <w:tcPr>
            <w:tcW w:w="6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kern w:val="2"/>
                <w:sz w:val="28"/>
                <w:szCs w:val="28"/>
                <w:lang w:val="en-US" w:eastAsia="zh-CN" w:bidi="ar-SA"/>
              </w:rPr>
            </w:pPr>
            <w:r>
              <w:rPr>
                <w:rFonts w:hint="eastAsia" w:ascii="CESI仿宋-GB2312" w:hAnsi="CESI仿宋-GB2312" w:eastAsia="CESI仿宋-GB2312" w:cs="CESI仿宋-GB2312"/>
                <w:sz w:val="28"/>
                <w:szCs w:val="28"/>
              </w:rPr>
              <w:t>按采购方要求。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jc w:val="center"/>
        </w:trPr>
        <w:tc>
          <w:tcPr>
            <w:tcW w:w="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cs="宋体" w:eastAsiaTheme="minorEastAsia"/>
                <w:sz w:val="28"/>
                <w:szCs w:val="28"/>
                <w:lang w:eastAsia="zh-CN"/>
              </w:rPr>
            </w:pPr>
            <w:r>
              <w:rPr>
                <w:rFonts w:hint="eastAsia" w:ascii="宋体" w:hAnsi="宋体" w:cs="宋体"/>
                <w:sz w:val="28"/>
                <w:szCs w:val="28"/>
                <w:lang w:val="en-US" w:eastAsia="zh-CN"/>
              </w:rPr>
              <w:t>3</w:t>
            </w:r>
          </w:p>
        </w:tc>
        <w:tc>
          <w:tcPr>
            <w:tcW w:w="1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竞争性磋商文件澄清、质疑</w:t>
            </w:r>
          </w:p>
        </w:tc>
        <w:tc>
          <w:tcPr>
            <w:tcW w:w="6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任何要求对竞争性磋商文件进行澄清的供应商，均应以书面形式送至</w:t>
            </w:r>
            <w:r>
              <w:rPr>
                <w:rFonts w:hint="eastAsia" w:ascii="CESI仿宋-GB2312" w:hAnsi="CESI仿宋-GB2312" w:eastAsia="CESI仿宋-GB2312" w:cs="CESI仿宋-GB2312"/>
                <w:sz w:val="28"/>
                <w:szCs w:val="28"/>
                <w:lang w:eastAsia="zh-CN"/>
              </w:rPr>
              <w:t>采购方</w:t>
            </w:r>
            <w:r>
              <w:rPr>
                <w:rFonts w:hint="eastAsia" w:ascii="CESI仿宋-GB2312" w:hAnsi="CESI仿宋-GB2312" w:eastAsia="CESI仿宋-GB2312" w:cs="CESI仿宋-GB2312"/>
                <w:sz w:val="28"/>
                <w:szCs w:val="28"/>
              </w:rPr>
              <w:t>。</w:t>
            </w:r>
            <w:r>
              <w:rPr>
                <w:rFonts w:hint="eastAsia" w:ascii="CESI仿宋-GB2312" w:hAnsi="CESI仿宋-GB2312" w:eastAsia="CESI仿宋-GB2312" w:cs="CESI仿宋-GB2312"/>
                <w:sz w:val="28"/>
                <w:szCs w:val="28"/>
                <w:lang w:eastAsia="zh-CN"/>
              </w:rPr>
              <w:t>采购方</w:t>
            </w:r>
            <w:r>
              <w:rPr>
                <w:rFonts w:hint="eastAsia" w:ascii="CESI仿宋-GB2312" w:hAnsi="CESI仿宋-GB2312" w:eastAsia="CESI仿宋-GB2312" w:cs="CESI仿宋-GB2312"/>
                <w:sz w:val="28"/>
                <w:szCs w:val="28"/>
              </w:rPr>
              <w:t>仅对开标</w:t>
            </w:r>
            <w:r>
              <w:rPr>
                <w:rFonts w:hint="eastAsia" w:ascii="CESI仿宋-GB2312" w:hAnsi="CESI仿宋-GB2312" w:eastAsia="CESI仿宋-GB2312" w:cs="CESI仿宋-GB2312"/>
                <w:sz w:val="28"/>
                <w:szCs w:val="28"/>
                <w:lang w:val="en-US" w:eastAsia="zh-CN"/>
              </w:rPr>
              <w:t>三</w:t>
            </w:r>
            <w:r>
              <w:rPr>
                <w:rFonts w:hint="eastAsia" w:ascii="CESI仿宋-GB2312" w:hAnsi="CESI仿宋-GB2312" w:eastAsia="CESI仿宋-GB2312" w:cs="CESI仿宋-GB2312"/>
                <w:sz w:val="28"/>
                <w:szCs w:val="28"/>
              </w:rPr>
              <w:t>日前收到的澄清要求予以答复，并将书面答复发给每个购买竞争性磋商文件的供应商（答复中不包括问题来源）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6" w:hRule="atLeast"/>
          <w:jc w:val="center"/>
        </w:trPr>
        <w:tc>
          <w:tcPr>
            <w:tcW w:w="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cs="宋体" w:eastAsiaTheme="minorEastAsia"/>
                <w:sz w:val="28"/>
                <w:szCs w:val="28"/>
                <w:lang w:eastAsia="zh-CN"/>
              </w:rPr>
            </w:pPr>
            <w:r>
              <w:rPr>
                <w:rFonts w:hint="eastAsia" w:ascii="宋体" w:hAnsi="宋体" w:cs="宋体"/>
                <w:sz w:val="28"/>
                <w:szCs w:val="28"/>
                <w:lang w:val="en-US" w:eastAsia="zh-CN"/>
              </w:rPr>
              <w:t>4</w:t>
            </w:r>
          </w:p>
        </w:tc>
        <w:tc>
          <w:tcPr>
            <w:tcW w:w="1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响应文件</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份数</w:t>
            </w:r>
          </w:p>
        </w:tc>
        <w:tc>
          <w:tcPr>
            <w:tcW w:w="6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纸质文本一式三份，其中正本壹份，副本两份，电子版响应文件壹份（电子版包括投标报价等完整的响应文件，出现问题</w:t>
            </w:r>
            <w:r>
              <w:rPr>
                <w:rFonts w:hint="eastAsia" w:ascii="CESI仿宋-GB2312" w:hAnsi="CESI仿宋-GB2312" w:eastAsia="CESI仿宋-GB2312" w:cs="CESI仿宋-GB2312"/>
                <w:sz w:val="28"/>
                <w:szCs w:val="28"/>
                <w:lang w:eastAsia="zh-CN"/>
              </w:rPr>
              <w:t>供应商</w:t>
            </w:r>
            <w:r>
              <w:rPr>
                <w:rFonts w:hint="eastAsia" w:ascii="CESI仿宋-GB2312" w:hAnsi="CESI仿宋-GB2312" w:eastAsia="CESI仿宋-GB2312" w:cs="CESI仿宋-GB2312"/>
                <w:sz w:val="28"/>
                <w:szCs w:val="28"/>
              </w:rPr>
              <w:t>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cs="宋体" w:eastAsiaTheme="minorEastAsia"/>
                <w:sz w:val="28"/>
                <w:szCs w:val="28"/>
                <w:lang w:eastAsia="zh-CN"/>
              </w:rPr>
            </w:pPr>
            <w:r>
              <w:rPr>
                <w:rFonts w:hint="eastAsia" w:ascii="宋体" w:hAnsi="宋体" w:cs="宋体"/>
                <w:sz w:val="28"/>
                <w:szCs w:val="28"/>
                <w:lang w:val="en-US" w:eastAsia="zh-CN"/>
              </w:rPr>
              <w:t>5</w:t>
            </w:r>
          </w:p>
        </w:tc>
        <w:tc>
          <w:tcPr>
            <w:tcW w:w="1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密封和标记</w:t>
            </w:r>
          </w:p>
        </w:tc>
        <w:tc>
          <w:tcPr>
            <w:tcW w:w="6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1.响应文件电子版1份单独密封递交。</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2.为了便于唱标，请各</w:t>
            </w:r>
            <w:r>
              <w:rPr>
                <w:rFonts w:hint="eastAsia" w:ascii="CESI仿宋-GB2312" w:hAnsi="CESI仿宋-GB2312" w:eastAsia="CESI仿宋-GB2312" w:cs="CESI仿宋-GB2312"/>
                <w:sz w:val="28"/>
                <w:szCs w:val="28"/>
                <w:lang w:eastAsia="zh-CN"/>
              </w:rPr>
              <w:t>供应商</w:t>
            </w:r>
            <w:r>
              <w:rPr>
                <w:rFonts w:hint="eastAsia" w:ascii="CESI仿宋-GB2312" w:hAnsi="CESI仿宋-GB2312" w:eastAsia="CESI仿宋-GB2312" w:cs="CESI仿宋-GB2312"/>
                <w:sz w:val="28"/>
                <w:szCs w:val="28"/>
              </w:rPr>
              <w:t>将首轮报价表单独密封递交。（同时响应文件中必须附有首轮报价表）</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3.响应文件的正本应单独密封，所有副本合包密封，不密封的响应文件无效。封套上应清楚地标记“正本”、“副本”字样，并在封套的封口处加盖</w:t>
            </w:r>
            <w:r>
              <w:rPr>
                <w:rFonts w:hint="eastAsia" w:ascii="CESI仿宋-GB2312" w:hAnsi="CESI仿宋-GB2312" w:eastAsia="CESI仿宋-GB2312" w:cs="CESI仿宋-GB2312"/>
                <w:sz w:val="28"/>
                <w:szCs w:val="28"/>
                <w:lang w:eastAsia="zh-CN"/>
              </w:rPr>
              <w:t>供应商</w:t>
            </w:r>
            <w:r>
              <w:rPr>
                <w:rFonts w:hint="eastAsia" w:ascii="CESI仿宋-GB2312" w:hAnsi="CESI仿宋-GB2312" w:eastAsia="CESI仿宋-GB2312" w:cs="CESI仿宋-GB2312"/>
                <w:sz w:val="28"/>
                <w:szCs w:val="28"/>
              </w:rPr>
              <w:t>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cs="宋体" w:eastAsiaTheme="minorEastAsia"/>
                <w:sz w:val="28"/>
                <w:szCs w:val="28"/>
                <w:lang w:eastAsia="zh-CN"/>
              </w:rPr>
            </w:pPr>
            <w:r>
              <w:rPr>
                <w:rFonts w:hint="eastAsia" w:ascii="宋体" w:hAnsi="宋体" w:cs="宋体"/>
                <w:sz w:val="28"/>
                <w:szCs w:val="28"/>
                <w:lang w:val="en-US" w:eastAsia="zh-CN"/>
              </w:rPr>
              <w:t>6</w:t>
            </w:r>
          </w:p>
        </w:tc>
        <w:tc>
          <w:tcPr>
            <w:tcW w:w="1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投标报价</w:t>
            </w:r>
          </w:p>
        </w:tc>
        <w:tc>
          <w:tcPr>
            <w:tcW w:w="6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投标报价的币种为人民币。投标报价应包含一切与投标有关的费用（无论任何理由，采购人不再另行支付成交价以外的任何费用）。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cs="宋体" w:eastAsiaTheme="minorEastAsia"/>
                <w:sz w:val="28"/>
                <w:szCs w:val="28"/>
                <w:lang w:eastAsia="zh-CN"/>
              </w:rPr>
            </w:pPr>
            <w:r>
              <w:rPr>
                <w:rFonts w:hint="eastAsia" w:ascii="宋体" w:hAnsi="宋体" w:cs="宋体"/>
                <w:sz w:val="28"/>
                <w:szCs w:val="28"/>
                <w:lang w:val="en-US" w:eastAsia="zh-CN"/>
              </w:rPr>
              <w:t>7</w:t>
            </w:r>
          </w:p>
        </w:tc>
        <w:tc>
          <w:tcPr>
            <w:tcW w:w="1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投标有效期</w:t>
            </w:r>
          </w:p>
        </w:tc>
        <w:tc>
          <w:tcPr>
            <w:tcW w:w="6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递交响应文件之日起90日历天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cs="宋体" w:eastAsiaTheme="minorEastAsia"/>
                <w:sz w:val="28"/>
                <w:szCs w:val="28"/>
                <w:lang w:eastAsia="zh-CN"/>
              </w:rPr>
            </w:pPr>
            <w:r>
              <w:rPr>
                <w:rFonts w:hint="eastAsia" w:ascii="宋体" w:hAnsi="宋体" w:cs="宋体"/>
                <w:sz w:val="28"/>
                <w:szCs w:val="28"/>
                <w:lang w:val="en-US" w:eastAsia="zh-CN"/>
              </w:rPr>
              <w:t>8</w:t>
            </w:r>
          </w:p>
        </w:tc>
        <w:tc>
          <w:tcPr>
            <w:tcW w:w="1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响应文件递交截止时间</w:t>
            </w:r>
          </w:p>
        </w:tc>
        <w:tc>
          <w:tcPr>
            <w:tcW w:w="6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2024年12月5日10时30分00秒（北京时间）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cs="宋体" w:eastAsiaTheme="minorEastAsia"/>
                <w:sz w:val="28"/>
                <w:szCs w:val="28"/>
                <w:lang w:eastAsia="zh-CN"/>
              </w:rPr>
            </w:pPr>
            <w:r>
              <w:rPr>
                <w:rFonts w:hint="eastAsia" w:ascii="宋体" w:hAnsi="宋体" w:cs="宋体"/>
                <w:sz w:val="28"/>
                <w:szCs w:val="28"/>
                <w:lang w:val="en-US" w:eastAsia="zh-CN"/>
              </w:rPr>
              <w:t>9</w:t>
            </w:r>
          </w:p>
        </w:tc>
        <w:tc>
          <w:tcPr>
            <w:tcW w:w="1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开标时间</w:t>
            </w:r>
          </w:p>
        </w:tc>
        <w:tc>
          <w:tcPr>
            <w:tcW w:w="6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2024年12月5日15时00分00秒（北京时间）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cs="宋体" w:eastAsiaTheme="minorEastAsia"/>
                <w:sz w:val="28"/>
                <w:szCs w:val="28"/>
                <w:lang w:val="en-US" w:eastAsia="zh-CN"/>
              </w:rPr>
            </w:pPr>
            <w:r>
              <w:rPr>
                <w:rFonts w:hint="eastAsia" w:ascii="宋体" w:hAnsi="宋体" w:cs="宋体"/>
                <w:sz w:val="28"/>
                <w:szCs w:val="28"/>
              </w:rPr>
              <w:t>1</w:t>
            </w:r>
            <w:r>
              <w:rPr>
                <w:rFonts w:hint="eastAsia" w:ascii="宋体" w:hAnsi="宋体" w:cs="宋体"/>
                <w:sz w:val="28"/>
                <w:szCs w:val="28"/>
                <w:lang w:val="en-US" w:eastAsia="zh-CN"/>
              </w:rPr>
              <w:t>0</w:t>
            </w:r>
          </w:p>
        </w:tc>
        <w:tc>
          <w:tcPr>
            <w:tcW w:w="1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开标地点</w:t>
            </w:r>
          </w:p>
        </w:tc>
        <w:tc>
          <w:tcPr>
            <w:tcW w:w="6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呼和浩特市市场监督管理局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cs="宋体" w:eastAsiaTheme="minorEastAsia"/>
                <w:sz w:val="28"/>
                <w:szCs w:val="28"/>
                <w:lang w:val="en-US" w:eastAsia="zh-CN"/>
              </w:rPr>
            </w:pPr>
            <w:r>
              <w:rPr>
                <w:rFonts w:hint="eastAsia" w:ascii="宋体" w:hAnsi="宋体" w:cs="宋体"/>
                <w:sz w:val="28"/>
                <w:szCs w:val="28"/>
              </w:rPr>
              <w:t>1</w:t>
            </w:r>
            <w:r>
              <w:rPr>
                <w:rFonts w:hint="eastAsia" w:ascii="宋体" w:hAnsi="宋体" w:cs="宋体"/>
                <w:sz w:val="28"/>
                <w:szCs w:val="28"/>
                <w:lang w:val="en-US" w:eastAsia="zh-CN"/>
              </w:rPr>
              <w:t>1</w:t>
            </w:r>
          </w:p>
        </w:tc>
        <w:tc>
          <w:tcPr>
            <w:tcW w:w="1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支付方式</w:t>
            </w:r>
          </w:p>
        </w:tc>
        <w:tc>
          <w:tcPr>
            <w:tcW w:w="6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合同中约定。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9" w:hRule="atLeast"/>
          <w:jc w:val="center"/>
        </w:trPr>
        <w:tc>
          <w:tcPr>
            <w:tcW w:w="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cs="宋体" w:eastAsiaTheme="minorEastAsia"/>
                <w:sz w:val="28"/>
                <w:szCs w:val="28"/>
                <w:lang w:val="en-US" w:eastAsia="zh-CN"/>
              </w:rPr>
            </w:pPr>
            <w:r>
              <w:rPr>
                <w:rFonts w:hint="eastAsia" w:ascii="宋体" w:hAnsi="宋体" w:cs="宋体"/>
                <w:sz w:val="28"/>
                <w:szCs w:val="28"/>
              </w:rPr>
              <w:t>1</w:t>
            </w:r>
            <w:r>
              <w:rPr>
                <w:rFonts w:hint="eastAsia" w:ascii="宋体" w:hAnsi="宋体" w:cs="宋体"/>
                <w:sz w:val="28"/>
                <w:szCs w:val="28"/>
                <w:lang w:val="en-US" w:eastAsia="zh-CN"/>
              </w:rPr>
              <w:t>2</w:t>
            </w:r>
          </w:p>
        </w:tc>
        <w:tc>
          <w:tcPr>
            <w:tcW w:w="1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采购人</w:t>
            </w:r>
          </w:p>
        </w:tc>
        <w:tc>
          <w:tcPr>
            <w:tcW w:w="6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rPr>
              <w:t>采购单位名称：</w:t>
            </w:r>
            <w:r>
              <w:rPr>
                <w:rFonts w:hint="eastAsia" w:ascii="CESI仿宋-GB2312" w:hAnsi="CESI仿宋-GB2312" w:eastAsia="CESI仿宋-GB2312" w:cs="CESI仿宋-GB2312"/>
                <w:sz w:val="28"/>
                <w:szCs w:val="28"/>
                <w:lang w:eastAsia="zh-CN"/>
              </w:rPr>
              <w:t>呼和浩特市市场监督管理局</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rPr>
              <w:t>地址：</w:t>
            </w:r>
            <w:r>
              <w:rPr>
                <w:rFonts w:hint="eastAsia" w:ascii="CESI仿宋-GB2312" w:hAnsi="CESI仿宋-GB2312" w:eastAsia="CESI仿宋-GB2312" w:cs="CESI仿宋-GB2312"/>
                <w:sz w:val="28"/>
                <w:szCs w:val="28"/>
                <w:lang w:eastAsia="zh-CN"/>
              </w:rPr>
              <w:t>呼和浩特市新城区机场高速路5</w:t>
            </w:r>
            <w:r>
              <w:rPr>
                <w:rFonts w:hint="eastAsia" w:ascii="CESI仿宋-GB2312" w:hAnsi="CESI仿宋-GB2312" w:eastAsia="CESI仿宋-GB2312" w:cs="CESI仿宋-GB2312"/>
                <w:sz w:val="28"/>
                <w:szCs w:val="28"/>
                <w:lang w:val="en-US" w:eastAsia="zh-CN"/>
              </w:rPr>
              <w:t>7</w:t>
            </w:r>
            <w:r>
              <w:rPr>
                <w:rFonts w:hint="eastAsia" w:ascii="CESI仿宋-GB2312" w:hAnsi="CESI仿宋-GB2312" w:eastAsia="CESI仿宋-GB2312" w:cs="CESI仿宋-GB2312"/>
                <w:sz w:val="28"/>
                <w:szCs w:val="28"/>
                <w:lang w:eastAsia="zh-CN"/>
              </w:rPr>
              <w:t>号水岸小镇G4号楼</w:t>
            </w:r>
            <w:r>
              <w:rPr>
                <w:rFonts w:hint="eastAsia" w:ascii="CESI仿宋-GB2312" w:hAnsi="CESI仿宋-GB2312" w:eastAsia="CESI仿宋-GB2312" w:cs="CESI仿宋-GB2312"/>
                <w:sz w:val="28"/>
                <w:szCs w:val="28"/>
                <w:lang w:val="en-US" w:eastAsia="zh-CN"/>
              </w:rPr>
              <w:t>8楼816室</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邮政编码：010010</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rPr>
              <w:t>联系人：</w:t>
            </w:r>
            <w:r>
              <w:rPr>
                <w:rFonts w:hint="eastAsia" w:ascii="CESI仿宋-GB2312" w:hAnsi="CESI仿宋-GB2312" w:eastAsia="CESI仿宋-GB2312" w:cs="CESI仿宋-GB2312"/>
                <w:sz w:val="28"/>
                <w:szCs w:val="28"/>
                <w:lang w:eastAsia="zh-CN"/>
              </w:rPr>
              <w:t>包东升</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default"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rPr>
              <w:t>联系电话：</w:t>
            </w:r>
            <w:r>
              <w:rPr>
                <w:rFonts w:hint="eastAsia" w:ascii="CESI仿宋-GB2312" w:hAnsi="CESI仿宋-GB2312" w:eastAsia="CESI仿宋-GB2312" w:cs="CESI仿宋-GB2312"/>
                <w:sz w:val="28"/>
                <w:szCs w:val="28"/>
                <w:lang w:val="en-US" w:eastAsia="zh-CN"/>
              </w:rPr>
              <w:t>15934919111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500" w:lineRule="exact"/>
              <w:ind w:left="57" w:right="57" w:firstLine="57"/>
              <w:jc w:val="center"/>
              <w:textAlignment w:val="auto"/>
              <w:rPr>
                <w:rFonts w:hint="default" w:ascii="宋体" w:hAnsi="宋体" w:cs="宋体" w:eastAsiaTheme="minorEastAsia"/>
                <w:sz w:val="28"/>
                <w:szCs w:val="28"/>
                <w:lang w:val="en-US" w:eastAsia="zh-CN"/>
              </w:rPr>
            </w:pPr>
            <w:r>
              <w:rPr>
                <w:rFonts w:hint="eastAsia" w:ascii="宋体" w:hAnsi="宋体" w:cs="宋体"/>
                <w:sz w:val="28"/>
                <w:szCs w:val="28"/>
                <w:lang w:val="en-US" w:eastAsia="zh-CN"/>
              </w:rPr>
              <w:t>13</w:t>
            </w:r>
          </w:p>
        </w:tc>
        <w:tc>
          <w:tcPr>
            <w:tcW w:w="1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900"/>
                <w:tab w:val="left" w:pos="1260"/>
                <w:tab w:val="left" w:pos="1620"/>
                <w:tab w:val="left" w:pos="5760"/>
              </w:tabs>
              <w:kinsoku/>
              <w:wordWrap/>
              <w:overflowPunct/>
              <w:topLinePunct w:val="0"/>
              <w:autoSpaceDE/>
              <w:autoSpaceDN/>
              <w:bidi w:val="0"/>
              <w:adjustRightInd/>
              <w:snapToGrid w:val="0"/>
              <w:spacing w:line="400" w:lineRule="exact"/>
              <w:jc w:val="center"/>
              <w:textAlignment w:val="auto"/>
              <w:rPr>
                <w:rFonts w:hint="eastAsia" w:ascii="CESI仿宋-GB2312" w:hAnsi="CESI仿宋-GB2312" w:eastAsia="CESI仿宋-GB2312" w:cs="CESI仿宋-GB2312"/>
                <w:snapToGrid w:val="0"/>
                <w:spacing w:val="-6"/>
                <w:kern w:val="0"/>
                <w:sz w:val="28"/>
                <w:szCs w:val="28"/>
              </w:rPr>
            </w:pPr>
            <w:r>
              <w:rPr>
                <w:rFonts w:hint="eastAsia" w:ascii="CESI仿宋-GB2312" w:hAnsi="CESI仿宋-GB2312" w:eastAsia="CESI仿宋-GB2312" w:cs="CESI仿宋-GB2312"/>
                <w:sz w:val="28"/>
                <w:szCs w:val="28"/>
              </w:rPr>
              <w:t>投标保证金</w:t>
            </w:r>
          </w:p>
        </w:tc>
        <w:tc>
          <w:tcPr>
            <w:tcW w:w="6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900"/>
                <w:tab w:val="left" w:pos="1260"/>
                <w:tab w:val="left" w:pos="1620"/>
                <w:tab w:val="left" w:pos="5760"/>
              </w:tabs>
              <w:kinsoku/>
              <w:wordWrap/>
              <w:overflowPunct/>
              <w:topLinePunct w:val="0"/>
              <w:autoSpaceDE/>
              <w:autoSpaceDN/>
              <w:bidi w:val="0"/>
              <w:adjustRightInd/>
              <w:snapToGrid w:val="0"/>
              <w:spacing w:line="400" w:lineRule="exact"/>
              <w:textAlignment w:val="auto"/>
              <w:rPr>
                <w:rFonts w:hint="eastAsia" w:ascii="CESI仿宋-GB2312" w:hAnsi="CESI仿宋-GB2312" w:eastAsia="CESI仿宋-GB2312" w:cs="CESI仿宋-GB2312"/>
                <w:b/>
                <w:bCs/>
                <w:snapToGrid w:val="0"/>
                <w:spacing w:val="-6"/>
                <w:kern w:val="0"/>
                <w:sz w:val="28"/>
                <w:szCs w:val="28"/>
                <w:lang w:val="en-US" w:eastAsia="zh-CN"/>
              </w:rPr>
            </w:pPr>
            <w:r>
              <w:rPr>
                <w:rFonts w:hint="eastAsia" w:ascii="CESI仿宋-GB2312" w:hAnsi="CESI仿宋-GB2312" w:eastAsia="CESI仿宋-GB2312" w:cs="CESI仿宋-GB2312"/>
                <w:b/>
                <w:bCs/>
                <w:snapToGrid w:val="0"/>
                <w:spacing w:val="-6"/>
                <w:kern w:val="0"/>
                <w:sz w:val="28"/>
                <w:szCs w:val="28"/>
                <w:lang w:val="en-US" w:eastAsia="zh-CN"/>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9" w:hRule="atLeast"/>
          <w:jc w:val="center"/>
        </w:trPr>
        <w:tc>
          <w:tcPr>
            <w:tcW w:w="808"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500" w:lineRule="exact"/>
              <w:ind w:left="57" w:right="57" w:firstLine="57"/>
              <w:jc w:val="center"/>
              <w:textAlignment w:val="auto"/>
              <w:rPr>
                <w:rFonts w:hint="default" w:ascii="宋体" w:hAnsi="宋体" w:cs="宋体" w:eastAsiaTheme="minorEastAsia"/>
                <w:sz w:val="28"/>
                <w:szCs w:val="28"/>
                <w:lang w:val="en-US" w:eastAsia="zh-CN"/>
              </w:rPr>
            </w:pPr>
            <w:r>
              <w:rPr>
                <w:rFonts w:hint="eastAsia" w:ascii="宋体" w:hAnsi="宋体" w:cs="宋体"/>
                <w:sz w:val="28"/>
                <w:szCs w:val="28"/>
                <w:lang w:val="en-US" w:eastAsia="zh-CN"/>
              </w:rPr>
              <w:t>14</w:t>
            </w:r>
          </w:p>
        </w:tc>
        <w:tc>
          <w:tcPr>
            <w:tcW w:w="1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CESI仿宋-GB2312" w:hAnsi="CESI仿宋-GB2312" w:eastAsia="CESI仿宋-GB2312" w:cs="CESI仿宋-GB2312"/>
                <w:snapToGrid w:val="0"/>
                <w:spacing w:val="-6"/>
                <w:kern w:val="0"/>
                <w:sz w:val="28"/>
                <w:szCs w:val="28"/>
              </w:rPr>
            </w:pPr>
            <w:r>
              <w:rPr>
                <w:rFonts w:hint="eastAsia" w:ascii="CESI仿宋-GB2312" w:hAnsi="CESI仿宋-GB2312" w:eastAsia="CESI仿宋-GB2312" w:cs="CESI仿宋-GB2312"/>
                <w:sz w:val="28"/>
                <w:szCs w:val="28"/>
              </w:rPr>
              <w:t>重要提示</w:t>
            </w:r>
          </w:p>
        </w:tc>
        <w:tc>
          <w:tcPr>
            <w:tcW w:w="6984"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CESI仿宋-GB2312" w:hAnsi="CESI仿宋-GB2312" w:eastAsia="CESI仿宋-GB2312" w:cs="CESI仿宋-GB2312"/>
                <w:b/>
                <w:bCs/>
                <w:snapToGrid w:val="0"/>
                <w:spacing w:val="-6"/>
                <w:kern w:val="0"/>
                <w:sz w:val="28"/>
                <w:szCs w:val="28"/>
              </w:rPr>
            </w:pPr>
            <w:r>
              <w:rPr>
                <w:rFonts w:hint="eastAsia" w:ascii="CESI仿宋-GB2312" w:hAnsi="CESI仿宋-GB2312" w:eastAsia="CESI仿宋-GB2312" w:cs="CESI仿宋-GB2312"/>
                <w:sz w:val="28"/>
                <w:szCs w:val="28"/>
              </w:rPr>
              <w:t>单位负责人为同一人或者存在直接控股、管理关系的不同供应商，不得参加同一合同项下的政府采购活动。为采购项目提供整体设计、规范编制或者项目管理、监理、检测等服务的供应商，不得再参加该采购项目的其他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9" w:hRule="atLeast"/>
          <w:jc w:val="center"/>
        </w:trPr>
        <w:tc>
          <w:tcPr>
            <w:tcW w:w="808"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500" w:lineRule="exact"/>
              <w:ind w:left="57" w:right="57" w:firstLine="57"/>
              <w:jc w:val="center"/>
              <w:textAlignment w:val="auto"/>
              <w:rPr>
                <w:rFonts w:hint="default" w:ascii="宋体" w:hAnsi="宋体" w:cs="宋体" w:eastAsiaTheme="minorEastAsia"/>
                <w:sz w:val="28"/>
                <w:szCs w:val="28"/>
                <w:lang w:val="en-US" w:eastAsia="zh-CN"/>
              </w:rPr>
            </w:pPr>
            <w:r>
              <w:rPr>
                <w:rFonts w:hint="eastAsia" w:ascii="宋体" w:hAnsi="宋体" w:cs="宋体"/>
                <w:sz w:val="28"/>
                <w:szCs w:val="28"/>
                <w:lang w:val="en-US" w:eastAsia="zh-CN"/>
              </w:rPr>
              <w:t>15</w:t>
            </w:r>
          </w:p>
        </w:tc>
        <w:tc>
          <w:tcPr>
            <w:tcW w:w="1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val="0"/>
              <w:spacing w:line="400" w:lineRule="exact"/>
              <w:jc w:val="center"/>
              <w:textAlignment w:val="auto"/>
              <w:rPr>
                <w:rFonts w:hint="eastAsia" w:ascii="CESI仿宋-GB2312" w:hAnsi="CESI仿宋-GB2312" w:eastAsia="CESI仿宋-GB2312" w:cs="CESI仿宋-GB2312"/>
                <w:snapToGrid w:val="0"/>
                <w:spacing w:val="-6"/>
                <w:kern w:val="0"/>
                <w:sz w:val="28"/>
                <w:szCs w:val="28"/>
              </w:rPr>
            </w:pPr>
            <w:r>
              <w:rPr>
                <w:rFonts w:hint="eastAsia" w:ascii="CESI仿宋-GB2312" w:hAnsi="CESI仿宋-GB2312" w:eastAsia="CESI仿宋-GB2312" w:cs="CESI仿宋-GB2312"/>
                <w:snapToGrid w:val="0"/>
                <w:spacing w:val="-6"/>
                <w:kern w:val="0"/>
                <w:sz w:val="28"/>
                <w:szCs w:val="28"/>
              </w:rPr>
              <w:t>备注</w:t>
            </w:r>
          </w:p>
        </w:tc>
        <w:tc>
          <w:tcPr>
            <w:tcW w:w="6984"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tabs>
                <w:tab w:val="left" w:pos="900"/>
                <w:tab w:val="left" w:pos="1260"/>
                <w:tab w:val="left" w:pos="1620"/>
                <w:tab w:val="left" w:pos="5760"/>
              </w:tabs>
              <w:kinsoku/>
              <w:wordWrap/>
              <w:overflowPunct/>
              <w:topLinePunct w:val="0"/>
              <w:autoSpaceDE/>
              <w:autoSpaceDN/>
              <w:bidi w:val="0"/>
              <w:adjustRightInd/>
              <w:snapToGrid w:val="0"/>
              <w:spacing w:line="400" w:lineRule="exact"/>
              <w:textAlignment w:val="auto"/>
              <w:rPr>
                <w:rFonts w:hint="eastAsia" w:ascii="CESI仿宋-GB2312" w:hAnsi="CESI仿宋-GB2312" w:eastAsia="CESI仿宋-GB2312" w:cs="CESI仿宋-GB2312"/>
                <w:b/>
                <w:bCs/>
                <w:snapToGrid w:val="0"/>
                <w:spacing w:val="-6"/>
                <w:kern w:val="0"/>
                <w:sz w:val="28"/>
                <w:szCs w:val="28"/>
              </w:rPr>
            </w:pPr>
            <w:r>
              <w:rPr>
                <w:rFonts w:hint="eastAsia" w:ascii="CESI仿宋-GB2312" w:hAnsi="CESI仿宋-GB2312" w:eastAsia="CESI仿宋-GB2312" w:cs="CESI仿宋-GB2312"/>
                <w:b/>
                <w:bCs/>
                <w:sz w:val="28"/>
                <w:szCs w:val="28"/>
              </w:rPr>
              <w:t>本项目预算金额</w:t>
            </w:r>
            <w:r>
              <w:rPr>
                <w:rFonts w:hint="eastAsia" w:ascii="CESI仿宋-GB2312" w:hAnsi="CESI仿宋-GB2312" w:eastAsia="CESI仿宋-GB2312" w:cs="CESI仿宋-GB2312"/>
                <w:b/>
                <w:bCs/>
                <w:sz w:val="28"/>
                <w:szCs w:val="28"/>
                <w:lang w:val="en-US" w:eastAsia="zh-CN"/>
              </w:rPr>
              <w:t>75</w:t>
            </w:r>
            <w:r>
              <w:rPr>
                <w:rFonts w:hint="eastAsia" w:ascii="CESI仿宋-GB2312" w:hAnsi="CESI仿宋-GB2312" w:eastAsia="CESI仿宋-GB2312" w:cs="CESI仿宋-GB2312"/>
                <w:b/>
                <w:bCs/>
                <w:sz w:val="28"/>
                <w:szCs w:val="28"/>
              </w:rPr>
              <w:t>0000元，超预算报价的投标将被视为无效投标。</w:t>
            </w:r>
          </w:p>
        </w:tc>
      </w:tr>
    </w:tbl>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1"/>
        <w:rPr>
          <w:rFonts w:hint="eastAsia" w:ascii="宋体" w:hAnsi="宋体" w:cs="宋体"/>
          <w:b/>
          <w:bCs/>
          <w:kern w:val="0"/>
          <w:sz w:val="32"/>
          <w:szCs w:val="32"/>
          <w:lang w:val="en-US" w:eastAsia="zh-CN"/>
        </w:rPr>
      </w:pPr>
      <w:bookmarkStart w:id="2" w:name="_Toc10068"/>
      <w:bookmarkStart w:id="3" w:name="_Toc14581"/>
      <w:bookmarkStart w:id="4" w:name="_Toc17445"/>
      <w:bookmarkStart w:id="5" w:name="_Toc4498"/>
      <w:r>
        <w:rPr>
          <w:rFonts w:hint="eastAsia" w:ascii="宋体" w:hAnsi="宋体" w:cs="宋体"/>
          <w:b/>
          <w:bCs/>
          <w:kern w:val="0"/>
          <w:sz w:val="32"/>
          <w:szCs w:val="32"/>
          <w:lang w:val="en-US" w:eastAsia="zh-CN"/>
        </w:rPr>
        <w:t>二、竞争性磋商文件</w:t>
      </w:r>
      <w:bookmarkEnd w:id="2"/>
      <w:bookmarkEnd w:id="3"/>
      <w:bookmarkEnd w:id="4"/>
      <w:bookmarkEnd w:id="5"/>
    </w:p>
    <w:p>
      <w:pPr>
        <w:keepNext/>
        <w:keepLines/>
        <w:pageBreakBefore w:val="0"/>
        <w:widowControl w:val="0"/>
        <w:kinsoku/>
        <w:wordWrap/>
        <w:overflowPunct/>
        <w:topLinePunct w:val="0"/>
        <w:autoSpaceDE/>
        <w:autoSpaceDN/>
        <w:bidi w:val="0"/>
        <w:adjustRightInd w:val="0"/>
        <w:snapToGrid w:val="0"/>
        <w:spacing w:line="500" w:lineRule="exact"/>
        <w:ind w:firstLine="562" w:firstLineChars="200"/>
        <w:textAlignment w:val="auto"/>
        <w:outlineLvl w:val="2"/>
        <w:rPr>
          <w:rFonts w:hint="eastAsia" w:ascii="CESI仿宋-GB2312" w:hAnsi="CESI仿宋-GB2312" w:eastAsia="CESI仿宋-GB2312" w:cs="CESI仿宋-GB2312"/>
          <w:b/>
          <w:bCs/>
          <w:sz w:val="28"/>
          <w:szCs w:val="28"/>
          <w:lang w:eastAsia="zh-CN"/>
        </w:rPr>
      </w:pPr>
      <w:bookmarkStart w:id="6" w:name="_Toc11549"/>
      <w:r>
        <w:rPr>
          <w:rFonts w:hint="eastAsia" w:ascii="CESI仿宋-GB2312" w:hAnsi="CESI仿宋-GB2312" w:eastAsia="CESI仿宋-GB2312" w:cs="CESI仿宋-GB2312"/>
          <w:b/>
          <w:bCs/>
          <w:sz w:val="28"/>
          <w:szCs w:val="28"/>
          <w:lang w:eastAsia="zh-CN"/>
        </w:rPr>
        <w:t>（一）</w:t>
      </w:r>
      <w:r>
        <w:rPr>
          <w:rFonts w:hint="eastAsia" w:ascii="CESI仿宋-GB2312" w:hAnsi="CESI仿宋-GB2312" w:eastAsia="CESI仿宋-GB2312" w:cs="CESI仿宋-GB2312"/>
          <w:b/>
          <w:bCs/>
          <w:sz w:val="28"/>
          <w:szCs w:val="28"/>
        </w:rPr>
        <w:t>说明</w:t>
      </w:r>
      <w:bookmarkEnd w:id="6"/>
      <w:r>
        <w:rPr>
          <w:rFonts w:hint="eastAsia" w:ascii="CESI仿宋-GB2312" w:hAnsi="CESI仿宋-GB2312" w:eastAsia="CESI仿宋-GB2312" w:cs="CESI仿宋-GB2312"/>
          <w:b/>
          <w:bCs/>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本竞争性磋商文件依据《中华人民共和国政府采购法》和《中华人民共和国政府采购法实施条例》、《政府采购货物和服务招标投标管理办法》（财政部令第18号）、《中华人民共和国财政部令第87号》、《政府采购竞争性磋商采购方式管理暂行办法》的通知（财库{2014}214号）及国家和自治区有关法律法规、规章制度编制。</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562"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sz w:val="28"/>
          <w:szCs w:val="28"/>
        </w:rPr>
        <w:t>1．适用范围</w:t>
      </w:r>
    </w:p>
    <w:p>
      <w:pPr>
        <w:keepNext w:val="0"/>
        <w:keepLines w:val="0"/>
        <w:pageBreakBefore w:val="0"/>
        <w:widowControl w:val="0"/>
        <w:numPr>
          <w:ilvl w:val="0"/>
          <w:numId w:val="0"/>
        </w:numPr>
        <w:tabs>
          <w:tab w:val="left" w:pos="1120"/>
        </w:tabs>
        <w:kinsoku/>
        <w:wordWrap/>
        <w:overflowPunct/>
        <w:topLinePunct w:val="0"/>
        <w:autoSpaceDE/>
        <w:autoSpaceDN/>
        <w:bidi w:val="0"/>
        <w:adjustRightInd w:val="0"/>
        <w:snapToGrid w:val="0"/>
        <w:spacing w:line="500" w:lineRule="exact"/>
        <w:ind w:firstLine="562"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1.1</w:t>
      </w:r>
      <w:r>
        <w:rPr>
          <w:rFonts w:hint="eastAsia" w:ascii="CESI仿宋-GB2312" w:hAnsi="CESI仿宋-GB2312" w:eastAsia="CESI仿宋-GB2312" w:cs="CESI仿宋-GB2312"/>
          <w:sz w:val="28"/>
          <w:szCs w:val="28"/>
        </w:rPr>
        <w:t>本竞争性磋商文件仅适用于本次招标公告中所涉及的项目和内容。</w:t>
      </w:r>
    </w:p>
    <w:p>
      <w:pPr>
        <w:keepNext w:val="0"/>
        <w:keepLines w:val="0"/>
        <w:pageBreakBefore w:val="0"/>
        <w:widowControl w:val="0"/>
        <w:numPr>
          <w:ilvl w:val="0"/>
          <w:numId w:val="0"/>
        </w:numPr>
        <w:tabs>
          <w:tab w:val="left" w:pos="1120"/>
        </w:tabs>
        <w:kinsoku/>
        <w:wordWrap/>
        <w:overflowPunct/>
        <w:topLinePunct w:val="0"/>
        <w:autoSpaceDE/>
        <w:autoSpaceDN/>
        <w:bidi w:val="0"/>
        <w:adjustRightInd w:val="0"/>
        <w:snapToGrid w:val="0"/>
        <w:spacing w:line="500" w:lineRule="exact"/>
        <w:ind w:firstLine="562" w:firstLineChars="200"/>
        <w:jc w:val="lef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1.2</w:t>
      </w:r>
      <w:r>
        <w:rPr>
          <w:rFonts w:hint="eastAsia" w:ascii="CESI仿宋-GB2312" w:hAnsi="CESI仿宋-GB2312" w:eastAsia="CESI仿宋-GB2312" w:cs="CESI仿宋-GB2312"/>
          <w:sz w:val="28"/>
          <w:szCs w:val="28"/>
        </w:rPr>
        <w:t>本竞争性磋商文件的解释权为组织本次采购活动的</w:t>
      </w:r>
      <w:r>
        <w:rPr>
          <w:rFonts w:hint="eastAsia" w:ascii="CESI仿宋-GB2312" w:hAnsi="CESI仿宋-GB2312" w:eastAsia="CESI仿宋-GB2312" w:cs="CESI仿宋-GB2312"/>
          <w:sz w:val="28"/>
          <w:szCs w:val="28"/>
          <w:lang w:eastAsia="zh-CN"/>
        </w:rPr>
        <w:t>呼和浩特市市场监督管理局</w:t>
      </w:r>
      <w:r>
        <w:rPr>
          <w:rFonts w:hint="eastAsia" w:ascii="CESI仿宋-GB2312" w:hAnsi="CESI仿宋-GB2312" w:eastAsia="CESI仿宋-GB2312" w:cs="CESI仿宋-GB2312"/>
          <w:sz w:val="28"/>
          <w:szCs w:val="28"/>
        </w:rPr>
        <w:t>。</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562" w:firstLineChars="200"/>
        <w:textAlignment w:val="auto"/>
        <w:rPr>
          <w:rFonts w:hint="eastAsia" w:ascii="CESI仿宋-GB2312" w:hAnsi="CESI仿宋-GB2312" w:eastAsia="CESI仿宋-GB2312" w:cs="CESI仿宋-GB2312"/>
          <w:b/>
          <w:sz w:val="28"/>
          <w:szCs w:val="28"/>
        </w:rPr>
      </w:pPr>
      <w:r>
        <w:rPr>
          <w:rFonts w:hint="eastAsia" w:ascii="CESI仿宋-GB2312" w:hAnsi="CESI仿宋-GB2312" w:eastAsia="CESI仿宋-GB2312" w:cs="CESI仿宋-GB2312"/>
          <w:b/>
          <w:sz w:val="28"/>
          <w:szCs w:val="28"/>
        </w:rPr>
        <w:t>2．定义</w:t>
      </w:r>
    </w:p>
    <w:p>
      <w:pPr>
        <w:keepNext w:val="0"/>
        <w:keepLines w:val="0"/>
        <w:pageBreakBefore w:val="0"/>
        <w:widowControl w:val="0"/>
        <w:numPr>
          <w:ilvl w:val="0"/>
          <w:numId w:val="0"/>
        </w:numPr>
        <w:tabs>
          <w:tab w:val="left" w:pos="1114"/>
        </w:tabs>
        <w:kinsoku/>
        <w:wordWrap/>
        <w:overflowPunct/>
        <w:topLinePunct w:val="0"/>
        <w:autoSpaceDE/>
        <w:autoSpaceDN/>
        <w:bidi w:val="0"/>
        <w:adjustRightInd w:val="0"/>
        <w:snapToGrid w:val="0"/>
        <w:spacing w:line="500" w:lineRule="exact"/>
        <w:ind w:right="0" w:rightChars="0" w:firstLine="562"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2.1</w:t>
      </w:r>
      <w:r>
        <w:rPr>
          <w:rFonts w:hint="eastAsia" w:ascii="CESI仿宋-GB2312" w:hAnsi="CESI仿宋-GB2312" w:eastAsia="CESI仿宋-GB2312" w:cs="CESI仿宋-GB2312"/>
          <w:sz w:val="28"/>
          <w:szCs w:val="28"/>
        </w:rPr>
        <w:t>“采购人”是指依法进行政府采购的国家机关、事业单位和团体组织。本项目竞争性磋商文件的采购人为</w:t>
      </w:r>
      <w:r>
        <w:rPr>
          <w:rFonts w:hint="eastAsia" w:ascii="CESI仿宋-GB2312" w:hAnsi="CESI仿宋-GB2312" w:eastAsia="CESI仿宋-GB2312" w:cs="CESI仿宋-GB2312"/>
          <w:sz w:val="28"/>
          <w:szCs w:val="28"/>
          <w:lang w:eastAsia="zh-CN"/>
        </w:rPr>
        <w:t>呼和浩特市市场监督管理局</w:t>
      </w:r>
      <w:r>
        <w:rPr>
          <w:rFonts w:hint="eastAsia" w:ascii="CESI仿宋-GB2312" w:hAnsi="CESI仿宋-GB2312" w:eastAsia="CESI仿宋-GB2312" w:cs="CESI仿宋-GB2312"/>
          <w:sz w:val="28"/>
          <w:szCs w:val="28"/>
        </w:rPr>
        <w:t>。</w:t>
      </w:r>
    </w:p>
    <w:p>
      <w:pPr>
        <w:keepNext w:val="0"/>
        <w:keepLines w:val="0"/>
        <w:pageBreakBefore w:val="0"/>
        <w:widowControl w:val="0"/>
        <w:numPr>
          <w:ilvl w:val="0"/>
          <w:numId w:val="0"/>
        </w:numPr>
        <w:tabs>
          <w:tab w:val="left" w:pos="1123"/>
        </w:tabs>
        <w:kinsoku/>
        <w:wordWrap/>
        <w:overflowPunct/>
        <w:topLinePunct w:val="0"/>
        <w:autoSpaceDE/>
        <w:autoSpaceDN/>
        <w:bidi w:val="0"/>
        <w:adjustRightInd w:val="0"/>
        <w:snapToGrid w:val="0"/>
        <w:spacing w:line="500" w:lineRule="exact"/>
        <w:ind w:right="0" w:rightChars="0" w:firstLine="562"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2.2</w:t>
      </w:r>
      <w:r>
        <w:rPr>
          <w:rFonts w:hint="eastAsia" w:ascii="CESI仿宋-GB2312" w:hAnsi="CESI仿宋-GB2312" w:eastAsia="CESI仿宋-GB2312" w:cs="CESI仿宋-GB2312"/>
          <w:sz w:val="28"/>
          <w:szCs w:val="28"/>
        </w:rPr>
        <w:t>“供应商”是指向采购人提供货物、工程或者服务的法人、其他组织或者自然人。</w:t>
      </w:r>
    </w:p>
    <w:p>
      <w:pPr>
        <w:keepNext w:val="0"/>
        <w:keepLines w:val="0"/>
        <w:pageBreakBefore w:val="0"/>
        <w:widowControl w:val="0"/>
        <w:numPr>
          <w:ilvl w:val="0"/>
          <w:numId w:val="0"/>
        </w:numPr>
        <w:tabs>
          <w:tab w:val="left" w:pos="1120"/>
        </w:tabs>
        <w:kinsoku/>
        <w:wordWrap/>
        <w:overflowPunct/>
        <w:topLinePunct w:val="0"/>
        <w:autoSpaceDE/>
        <w:autoSpaceDN/>
        <w:bidi w:val="0"/>
        <w:adjustRightInd w:val="0"/>
        <w:snapToGrid w:val="0"/>
        <w:spacing w:line="500" w:lineRule="exact"/>
        <w:ind w:right="0" w:rightChars="0" w:firstLine="562"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2.3</w:t>
      </w:r>
      <w:r>
        <w:rPr>
          <w:rFonts w:hint="eastAsia" w:ascii="CESI仿宋-GB2312" w:hAnsi="CESI仿宋-GB2312" w:eastAsia="CESI仿宋-GB2312" w:cs="CESI仿宋-GB2312"/>
          <w:sz w:val="28"/>
          <w:szCs w:val="28"/>
        </w:rPr>
        <w:t>“磋商供应商”是指参加政府采购项目投标活动的供应商。</w:t>
      </w:r>
    </w:p>
    <w:p>
      <w:pPr>
        <w:keepNext w:val="0"/>
        <w:keepLines w:val="0"/>
        <w:pageBreakBefore w:val="0"/>
        <w:widowControl w:val="0"/>
        <w:numPr>
          <w:ilvl w:val="0"/>
          <w:numId w:val="0"/>
        </w:numPr>
        <w:tabs>
          <w:tab w:val="left" w:pos="1120"/>
        </w:tabs>
        <w:kinsoku/>
        <w:wordWrap/>
        <w:overflowPunct/>
        <w:topLinePunct w:val="0"/>
        <w:autoSpaceDE/>
        <w:autoSpaceDN/>
        <w:bidi w:val="0"/>
        <w:adjustRightInd w:val="0"/>
        <w:snapToGrid w:val="0"/>
        <w:spacing w:line="500" w:lineRule="exact"/>
        <w:ind w:right="0" w:rightChars="0" w:firstLine="562"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2.4</w:t>
      </w:r>
      <w:r>
        <w:rPr>
          <w:rFonts w:hint="eastAsia" w:ascii="CESI仿宋-GB2312" w:hAnsi="CESI仿宋-GB2312" w:eastAsia="CESI仿宋-GB2312" w:cs="CESI仿宋-GB2312"/>
          <w:sz w:val="28"/>
          <w:szCs w:val="28"/>
        </w:rPr>
        <w:t>“成交供应商”是指经评标委员会评审，授予合同的磋商供应商。</w:t>
      </w:r>
    </w:p>
    <w:p>
      <w:pPr>
        <w:keepNext w:val="0"/>
        <w:keepLines w:val="0"/>
        <w:pageBreakBefore w:val="0"/>
        <w:widowControl w:val="0"/>
        <w:numPr>
          <w:ilvl w:val="0"/>
          <w:numId w:val="0"/>
        </w:numPr>
        <w:tabs>
          <w:tab w:val="left" w:pos="1123"/>
        </w:tabs>
        <w:kinsoku/>
        <w:wordWrap/>
        <w:overflowPunct/>
        <w:topLinePunct w:val="0"/>
        <w:autoSpaceDE/>
        <w:autoSpaceDN/>
        <w:bidi w:val="0"/>
        <w:adjustRightInd w:val="0"/>
        <w:snapToGrid w:val="0"/>
        <w:spacing w:line="500" w:lineRule="exact"/>
        <w:ind w:right="0" w:rightChars="0" w:firstLine="562"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2.5</w:t>
      </w:r>
      <w:r>
        <w:rPr>
          <w:rFonts w:hint="eastAsia" w:ascii="CESI仿宋-GB2312" w:hAnsi="CESI仿宋-GB2312" w:eastAsia="CESI仿宋-GB2312" w:cs="CESI仿宋-GB2312"/>
          <w:sz w:val="28"/>
          <w:szCs w:val="28"/>
        </w:rPr>
        <w:t>“进口产品”是指对从境外进入海关特殊监管区域，再经办理报关手续后从海关特殊监管区进入境内的其他地区产品。</w:t>
      </w:r>
    </w:p>
    <w:p>
      <w:pPr>
        <w:keepNext w:val="0"/>
        <w:keepLines w:val="0"/>
        <w:pageBreakBefore w:val="0"/>
        <w:widowControl w:val="0"/>
        <w:numPr>
          <w:ilvl w:val="0"/>
          <w:numId w:val="0"/>
        </w:numPr>
        <w:tabs>
          <w:tab w:val="left" w:pos="1123"/>
        </w:tabs>
        <w:kinsoku/>
        <w:wordWrap/>
        <w:overflowPunct/>
        <w:topLinePunct w:val="0"/>
        <w:autoSpaceDE/>
        <w:autoSpaceDN/>
        <w:bidi w:val="0"/>
        <w:adjustRightInd w:val="0"/>
        <w:snapToGrid w:val="0"/>
        <w:spacing w:line="500" w:lineRule="exact"/>
        <w:ind w:right="0" w:rightChars="0" w:firstLine="562"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2.6</w:t>
      </w:r>
      <w:r>
        <w:rPr>
          <w:rFonts w:hint="eastAsia" w:ascii="CESI仿宋-GB2312" w:hAnsi="CESI仿宋-GB2312" w:eastAsia="CESI仿宋-GB2312" w:cs="CESI仿宋-GB2312"/>
          <w:sz w:val="28"/>
          <w:szCs w:val="28"/>
        </w:rPr>
        <w:t>合格的货物和服务</w:t>
      </w:r>
    </w:p>
    <w:p>
      <w:pPr>
        <w:keepNext w:val="0"/>
        <w:keepLines w:val="0"/>
        <w:pageBreakBefore w:val="0"/>
        <w:widowControl w:val="0"/>
        <w:numPr>
          <w:ilvl w:val="0"/>
          <w:numId w:val="0"/>
        </w:numPr>
        <w:tabs>
          <w:tab w:val="left" w:pos="1123"/>
        </w:tabs>
        <w:kinsoku/>
        <w:wordWrap/>
        <w:overflowPunct/>
        <w:topLinePunct w:val="0"/>
        <w:autoSpaceDE/>
        <w:autoSpaceDN/>
        <w:bidi w:val="0"/>
        <w:adjustRightInd w:val="0"/>
        <w:snapToGrid w:val="0"/>
        <w:spacing w:line="500" w:lineRule="exact"/>
        <w:ind w:right="0" w:rightChars="0" w:firstLine="562"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2.6.1</w:t>
      </w:r>
      <w:r>
        <w:rPr>
          <w:rFonts w:hint="eastAsia" w:ascii="CESI仿宋-GB2312" w:hAnsi="CESI仿宋-GB2312" w:eastAsia="CESI仿宋-GB2312" w:cs="CESI仿宋-GB2312"/>
          <w:sz w:val="28"/>
          <w:szCs w:val="28"/>
        </w:rPr>
        <w:t>“货物”是指磋商供应商制造或组织符合竞争性磋商文件要求的货物等。提供的货物必须是其合法生产的符合国家有关标准要求的货物，并符合采购合同规定的品牌、产地、质量、价格和有效期等。</w:t>
      </w:r>
    </w:p>
    <w:p>
      <w:pPr>
        <w:keepNext w:val="0"/>
        <w:keepLines w:val="0"/>
        <w:pageBreakBefore w:val="0"/>
        <w:widowControl w:val="0"/>
        <w:tabs>
          <w:tab w:val="left" w:pos="1406"/>
        </w:tabs>
        <w:kinsoku/>
        <w:wordWrap/>
        <w:overflowPunct/>
        <w:topLinePunct w:val="0"/>
        <w:autoSpaceDE/>
        <w:autoSpaceDN/>
        <w:bidi w:val="0"/>
        <w:adjustRightInd w:val="0"/>
        <w:snapToGrid w:val="0"/>
        <w:spacing w:line="500" w:lineRule="exact"/>
        <w:ind w:right="0" w:firstLine="562"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2.</w:t>
      </w:r>
      <w:r>
        <w:rPr>
          <w:rFonts w:hint="eastAsia" w:ascii="CESI仿宋-GB2312" w:hAnsi="CESI仿宋-GB2312" w:eastAsia="CESI仿宋-GB2312" w:cs="CESI仿宋-GB2312"/>
          <w:b/>
          <w:bCs/>
          <w:sz w:val="28"/>
          <w:szCs w:val="28"/>
          <w:lang w:val="en-US" w:eastAsia="zh-CN"/>
        </w:rPr>
        <w:t>6</w:t>
      </w:r>
      <w:r>
        <w:rPr>
          <w:rFonts w:hint="eastAsia" w:ascii="CESI仿宋-GB2312" w:hAnsi="CESI仿宋-GB2312" w:eastAsia="CESI仿宋-GB2312" w:cs="CESI仿宋-GB2312"/>
          <w:b/>
          <w:bCs/>
          <w:sz w:val="28"/>
          <w:szCs w:val="28"/>
        </w:rPr>
        <w:t>.2</w:t>
      </w:r>
      <w:r>
        <w:rPr>
          <w:rFonts w:hint="eastAsia" w:ascii="CESI仿宋-GB2312" w:hAnsi="CESI仿宋-GB2312" w:eastAsia="CESI仿宋-GB2312" w:cs="CESI仿宋-GB2312"/>
          <w:sz w:val="28"/>
          <w:szCs w:val="28"/>
        </w:rPr>
        <w:t>“服务”是指除货物、工程以外的其他政府采购对象，包括磋商供应商须承担的运输、安装、技术支持、培训以及其他类似附加服务的义务。磋商供应商应保证，采购人在中华人民共和国使用该服务的任何一部分时，免受第三方提出的侵犯其专利权、商标权或工业设计权的起诉。</w:t>
      </w:r>
    </w:p>
    <w:p>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left="0" w:firstLine="562" w:firstLineChars="200"/>
        <w:textAlignment w:val="auto"/>
        <w:rPr>
          <w:rFonts w:hint="eastAsia" w:ascii="CESI仿宋-GB2312" w:hAnsi="CESI仿宋-GB2312" w:eastAsia="CESI仿宋-GB2312" w:cs="CESI仿宋-GB2312"/>
          <w:b/>
          <w:sz w:val="28"/>
          <w:szCs w:val="28"/>
        </w:rPr>
      </w:pPr>
      <w:r>
        <w:rPr>
          <w:rFonts w:hint="eastAsia" w:ascii="CESI仿宋-GB2312" w:hAnsi="CESI仿宋-GB2312" w:eastAsia="CESI仿宋-GB2312" w:cs="CESI仿宋-GB2312"/>
          <w:b/>
          <w:sz w:val="28"/>
          <w:szCs w:val="28"/>
        </w:rPr>
        <w:t>服务期、付款</w:t>
      </w:r>
    </w:p>
    <w:p>
      <w:pPr>
        <w:keepNext w:val="0"/>
        <w:keepLines w:val="0"/>
        <w:pageBreakBefore w:val="0"/>
        <w:widowControl w:val="0"/>
        <w:numPr>
          <w:ilvl w:val="1"/>
          <w:numId w:val="3"/>
        </w:numPr>
        <w:tabs>
          <w:tab w:val="left" w:pos="1120"/>
        </w:tabs>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服务期：详见</w:t>
      </w:r>
      <w:r>
        <w:rPr>
          <w:rFonts w:hint="eastAsia" w:ascii="CESI仿宋-GB2312" w:hAnsi="CESI仿宋-GB2312" w:eastAsia="CESI仿宋-GB2312" w:cs="CESI仿宋-GB2312"/>
          <w:sz w:val="28"/>
          <w:szCs w:val="28"/>
          <w:lang w:eastAsia="zh-CN"/>
        </w:rPr>
        <w:t>供应商</w:t>
      </w:r>
      <w:r>
        <w:rPr>
          <w:rFonts w:hint="eastAsia" w:ascii="CESI仿宋-GB2312" w:hAnsi="CESI仿宋-GB2312" w:eastAsia="CESI仿宋-GB2312" w:cs="CESI仿宋-GB2312"/>
          <w:sz w:val="28"/>
          <w:szCs w:val="28"/>
        </w:rPr>
        <w:t>须知前附表。</w:t>
      </w:r>
    </w:p>
    <w:p>
      <w:pPr>
        <w:keepNext w:val="0"/>
        <w:keepLines w:val="0"/>
        <w:pageBreakBefore w:val="0"/>
        <w:widowControl w:val="0"/>
        <w:numPr>
          <w:ilvl w:val="1"/>
          <w:numId w:val="3"/>
        </w:numPr>
        <w:tabs>
          <w:tab w:val="left" w:pos="1120"/>
        </w:tabs>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服务地点：按采购人要求。</w:t>
      </w:r>
    </w:p>
    <w:p>
      <w:pPr>
        <w:keepNext w:val="0"/>
        <w:keepLines w:val="0"/>
        <w:pageBreakBefore w:val="0"/>
        <w:widowControl w:val="0"/>
        <w:numPr>
          <w:ilvl w:val="1"/>
          <w:numId w:val="3"/>
        </w:numPr>
        <w:tabs>
          <w:tab w:val="left" w:pos="1120"/>
        </w:tabs>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付款</w:t>
      </w:r>
    </w:p>
    <w:p>
      <w:pPr>
        <w:keepNext w:val="0"/>
        <w:keepLines w:val="0"/>
        <w:pageBreakBefore w:val="0"/>
        <w:widowControl w:val="0"/>
        <w:numPr>
          <w:ilvl w:val="0"/>
          <w:numId w:val="4"/>
        </w:numPr>
        <w:tabs>
          <w:tab w:val="left" w:pos="1400"/>
        </w:tabs>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付款方式（打√）：国库集中支付（√）；单位自行支付（）；</w:t>
      </w:r>
    </w:p>
    <w:p>
      <w:pPr>
        <w:keepNext w:val="0"/>
        <w:keepLines w:val="0"/>
        <w:pageBreakBefore w:val="0"/>
        <w:widowControl w:val="0"/>
        <w:numPr>
          <w:ilvl w:val="0"/>
          <w:numId w:val="4"/>
        </w:numPr>
        <w:tabs>
          <w:tab w:val="left" w:pos="1400"/>
        </w:tabs>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付款方式：详见</w:t>
      </w:r>
      <w:r>
        <w:rPr>
          <w:rFonts w:hint="eastAsia" w:ascii="CESI仿宋-GB2312" w:hAnsi="CESI仿宋-GB2312" w:eastAsia="CESI仿宋-GB2312" w:cs="CESI仿宋-GB2312"/>
          <w:sz w:val="28"/>
          <w:szCs w:val="28"/>
          <w:lang w:eastAsia="zh-CN"/>
        </w:rPr>
        <w:t>供应商</w:t>
      </w:r>
      <w:r>
        <w:rPr>
          <w:rFonts w:hint="eastAsia" w:ascii="CESI仿宋-GB2312" w:hAnsi="CESI仿宋-GB2312" w:eastAsia="CESI仿宋-GB2312" w:cs="CESI仿宋-GB2312"/>
          <w:sz w:val="28"/>
          <w:szCs w:val="28"/>
        </w:rPr>
        <w:t>须知前附表</w:t>
      </w:r>
      <w:r>
        <w:rPr>
          <w:rFonts w:hint="eastAsia" w:ascii="CESI仿宋-GB2312" w:hAnsi="CESI仿宋-GB2312" w:eastAsia="CESI仿宋-GB2312" w:cs="CESI仿宋-GB2312"/>
          <w:sz w:val="28"/>
          <w:szCs w:val="28"/>
          <w:lang w:eastAsia="zh-CN"/>
        </w:rPr>
        <w:t>；</w:t>
      </w:r>
    </w:p>
    <w:p>
      <w:pPr>
        <w:keepNext w:val="0"/>
        <w:keepLines w:val="0"/>
        <w:pageBreakBefore w:val="0"/>
        <w:widowControl w:val="0"/>
        <w:numPr>
          <w:ilvl w:val="0"/>
          <w:numId w:val="4"/>
        </w:numPr>
        <w:tabs>
          <w:tab w:val="left" w:pos="1400"/>
        </w:tabs>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进口产品投标报价应包含外贸代理费等一切费用（如因政策等原因未能被批准的进口产品，所产生的一切费用由磋商供应商自行承担，采购人不再另行支付成交价以外的任何费用）。</w:t>
      </w:r>
    </w:p>
    <w:p>
      <w:pPr>
        <w:keepNext/>
        <w:keepLines/>
        <w:pageBreakBefore w:val="0"/>
        <w:widowControl w:val="0"/>
        <w:kinsoku/>
        <w:wordWrap/>
        <w:overflowPunct/>
        <w:topLinePunct w:val="0"/>
        <w:autoSpaceDE/>
        <w:autoSpaceDN/>
        <w:bidi w:val="0"/>
        <w:adjustRightInd/>
        <w:snapToGrid/>
        <w:spacing w:line="500" w:lineRule="exact"/>
        <w:ind w:firstLine="562" w:firstLineChars="200"/>
        <w:jc w:val="both"/>
        <w:textAlignment w:val="auto"/>
        <w:outlineLvl w:val="2"/>
        <w:rPr>
          <w:rFonts w:hint="eastAsia" w:ascii="CESI仿宋-GB2312" w:hAnsi="CESI仿宋-GB2312" w:eastAsia="CESI仿宋-GB2312" w:cs="CESI仿宋-GB2312"/>
          <w:b/>
          <w:bCs/>
          <w:sz w:val="28"/>
          <w:szCs w:val="28"/>
        </w:rPr>
      </w:pPr>
      <w:r>
        <w:rPr>
          <w:rFonts w:hint="eastAsia" w:ascii="CESI仿宋-GB2312" w:hAnsi="CESI仿宋-GB2312" w:eastAsia="CESI仿宋-GB2312" w:cs="CESI仿宋-GB2312"/>
          <w:b/>
          <w:bCs/>
          <w:sz w:val="28"/>
          <w:szCs w:val="28"/>
          <w:lang w:eastAsia="zh-CN"/>
        </w:rPr>
        <w:t>（二）</w:t>
      </w:r>
      <w:r>
        <w:rPr>
          <w:rFonts w:hint="eastAsia" w:ascii="CESI仿宋-GB2312" w:hAnsi="CESI仿宋-GB2312" w:eastAsia="CESI仿宋-GB2312" w:cs="CESI仿宋-GB2312"/>
          <w:b/>
          <w:bCs/>
          <w:sz w:val="28"/>
          <w:szCs w:val="28"/>
        </w:rPr>
        <w:t>竞争性磋商文件</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color w:val="FF0000"/>
          <w:sz w:val="28"/>
          <w:szCs w:val="28"/>
        </w:rPr>
      </w:pPr>
      <w:r>
        <w:rPr>
          <w:rFonts w:hint="eastAsia" w:ascii="CESI仿宋-GB2312" w:hAnsi="CESI仿宋-GB2312" w:eastAsia="CESI仿宋-GB2312" w:cs="CESI仿宋-GB2312"/>
          <w:b/>
          <w:bCs/>
          <w:sz w:val="28"/>
          <w:szCs w:val="28"/>
        </w:rPr>
        <w:t>4.</w:t>
      </w:r>
      <w:r>
        <w:rPr>
          <w:rFonts w:hint="eastAsia" w:ascii="CESI仿宋-GB2312" w:hAnsi="CESI仿宋-GB2312" w:eastAsia="CESI仿宋-GB2312" w:cs="CESI仿宋-GB2312"/>
          <w:sz w:val="28"/>
          <w:szCs w:val="28"/>
        </w:rPr>
        <w:t>竞争性磋商文件由下列文件组成：</w:t>
      </w:r>
    </w:p>
    <w:p>
      <w:pPr>
        <w:pageBreakBefore w:val="0"/>
        <w:topLinePunct w:val="0"/>
        <w:bidi w:val="0"/>
        <w:spacing w:beforeAutospacing="0" w:line="500" w:lineRule="exact"/>
        <w:ind w:left="0" w:right="0" w:firstLine="560" w:firstLineChars="200"/>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第一章招标公告</w:t>
      </w:r>
    </w:p>
    <w:p>
      <w:pPr>
        <w:pageBreakBefore w:val="0"/>
        <w:topLinePunct w:val="0"/>
        <w:bidi w:val="0"/>
        <w:spacing w:beforeAutospacing="0" w:line="500" w:lineRule="exact"/>
        <w:ind w:left="0" w:right="0" w:firstLine="560" w:firstLineChars="200"/>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第二章磋商供应商须知</w:t>
      </w:r>
    </w:p>
    <w:p>
      <w:pPr>
        <w:pageBreakBefore w:val="0"/>
        <w:topLinePunct w:val="0"/>
        <w:bidi w:val="0"/>
        <w:spacing w:beforeAutospacing="0" w:line="500" w:lineRule="exact"/>
        <w:ind w:left="0" w:right="0" w:firstLine="560" w:firstLineChars="200"/>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第三章采购要求</w:t>
      </w:r>
    </w:p>
    <w:p>
      <w:pPr>
        <w:pageBreakBefore w:val="0"/>
        <w:topLinePunct w:val="0"/>
        <w:bidi w:val="0"/>
        <w:spacing w:beforeAutospacing="0" w:line="500" w:lineRule="exact"/>
        <w:ind w:left="0" w:right="0" w:firstLine="560" w:firstLineChars="200"/>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第四章供应商资质证明及有关文件要求</w:t>
      </w:r>
    </w:p>
    <w:p>
      <w:pPr>
        <w:pageBreakBefore w:val="0"/>
        <w:topLinePunct w:val="0"/>
        <w:bidi w:val="0"/>
        <w:spacing w:beforeAutospacing="0" w:line="500" w:lineRule="exact"/>
        <w:ind w:left="0" w:right="0" w:firstLine="560" w:firstLineChars="200"/>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第五章评审原则和方法</w:t>
      </w:r>
    </w:p>
    <w:p>
      <w:pPr>
        <w:pageBreakBefore w:val="0"/>
        <w:topLinePunct w:val="0"/>
        <w:bidi w:val="0"/>
        <w:spacing w:beforeAutospacing="0" w:line="500" w:lineRule="exact"/>
        <w:ind w:left="0" w:right="0" w:firstLine="560" w:firstLineChars="200"/>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第六章响应文件格式与要求</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4.1</w:t>
      </w:r>
      <w:r>
        <w:rPr>
          <w:rFonts w:hint="eastAsia" w:ascii="CESI仿宋-GB2312" w:hAnsi="CESI仿宋-GB2312" w:eastAsia="CESI仿宋-GB2312" w:cs="CESI仿宋-GB2312"/>
          <w:sz w:val="28"/>
          <w:szCs w:val="28"/>
        </w:rPr>
        <w:t>在采购过程中由采购人发出的修正和补充文件等。</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4.2</w:t>
      </w:r>
      <w:r>
        <w:rPr>
          <w:rFonts w:hint="eastAsia" w:ascii="CESI仿宋-GB2312" w:hAnsi="CESI仿宋-GB2312" w:eastAsia="CESI仿宋-GB2312" w:cs="CESI仿宋-GB2312"/>
          <w:sz w:val="28"/>
          <w:szCs w:val="28"/>
        </w:rPr>
        <w:t>采购人要求磋商供应商提供的其他材料。</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4.3</w:t>
      </w:r>
      <w:r>
        <w:rPr>
          <w:rFonts w:hint="eastAsia" w:ascii="CESI仿宋-GB2312" w:hAnsi="CESI仿宋-GB2312" w:eastAsia="CESI仿宋-GB2312" w:cs="CESI仿宋-GB2312"/>
          <w:sz w:val="28"/>
          <w:szCs w:val="28"/>
        </w:rPr>
        <w:t>磋商供应商应认真阅读竞争性磋商文件中所有的事项、格式、条款和技术规格、参数及要求等，如果磋商供应商没有按照竞争性磋商文件要求提交全部资料，或者投标没有对竞争性磋商文件在各方面都做出实质性响应，其风险应由磋商供应商自行承担，并根据有关政策和条款规定，其投标有可能被拒绝，或被认定为无效投标。</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5.</w:t>
      </w:r>
      <w:r>
        <w:rPr>
          <w:rFonts w:hint="eastAsia" w:ascii="CESI仿宋-GB2312" w:hAnsi="CESI仿宋-GB2312" w:eastAsia="CESI仿宋-GB2312" w:cs="CESI仿宋-GB2312"/>
          <w:sz w:val="28"/>
          <w:szCs w:val="28"/>
        </w:rPr>
        <w:t>竞争性磋商文件的澄清</w:t>
      </w:r>
    </w:p>
    <w:p>
      <w:pPr>
        <w:pageBreakBefore w:val="0"/>
        <w:numPr>
          <w:ilvl w:val="0"/>
          <w:numId w:val="0"/>
        </w:numPr>
        <w:tabs>
          <w:tab w:val="left" w:pos="1123"/>
        </w:tabs>
        <w:topLinePunct w:val="0"/>
        <w:bidi w:val="0"/>
        <w:spacing w:beforeAutospacing="0" w:line="500" w:lineRule="exact"/>
        <w:ind w:right="0" w:rightChars="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5.1</w:t>
      </w:r>
      <w:r>
        <w:rPr>
          <w:rFonts w:hint="eastAsia" w:ascii="CESI仿宋-GB2312" w:hAnsi="CESI仿宋-GB2312" w:eastAsia="CESI仿宋-GB2312" w:cs="CESI仿宋-GB2312"/>
          <w:sz w:val="28"/>
          <w:szCs w:val="28"/>
        </w:rPr>
        <w:t>任何要求对竞争性磋商文件进行澄清的磋商供应商，均应以书面形式在投标截止时间</w:t>
      </w:r>
      <w:r>
        <w:rPr>
          <w:rFonts w:hint="eastAsia" w:ascii="CESI仿宋-GB2312" w:hAnsi="CESI仿宋-GB2312" w:eastAsia="CESI仿宋-GB2312" w:cs="CESI仿宋-GB2312"/>
          <w:sz w:val="28"/>
          <w:szCs w:val="28"/>
          <w:lang w:val="en-US" w:eastAsia="zh-CN"/>
        </w:rPr>
        <w:t>三</w:t>
      </w:r>
      <w:r>
        <w:rPr>
          <w:rFonts w:hint="eastAsia" w:ascii="CESI仿宋-GB2312" w:hAnsi="CESI仿宋-GB2312" w:eastAsia="CESI仿宋-GB2312" w:cs="CESI仿宋-GB2312"/>
          <w:sz w:val="28"/>
          <w:szCs w:val="28"/>
        </w:rPr>
        <w:t>日以前通知采购人。书面形式是指</w:t>
      </w:r>
      <w:r>
        <w:rPr>
          <w:rFonts w:hint="eastAsia" w:ascii="CESI仿宋-GB2312" w:hAnsi="CESI仿宋-GB2312" w:eastAsia="CESI仿宋-GB2312" w:cs="CESI仿宋-GB2312"/>
          <w:sz w:val="28"/>
          <w:szCs w:val="28"/>
          <w:lang w:eastAsia="zh-CN"/>
        </w:rPr>
        <w:t>供应商</w:t>
      </w:r>
      <w:r>
        <w:rPr>
          <w:rFonts w:hint="eastAsia" w:ascii="CESI仿宋-GB2312" w:hAnsi="CESI仿宋-GB2312" w:eastAsia="CESI仿宋-GB2312" w:cs="CESI仿宋-GB2312"/>
          <w:sz w:val="28"/>
          <w:szCs w:val="28"/>
        </w:rPr>
        <w:t>出具正式公函（原件），公函上要有</w:t>
      </w:r>
      <w:r>
        <w:rPr>
          <w:rFonts w:hint="eastAsia" w:ascii="CESI仿宋-GB2312" w:hAnsi="CESI仿宋-GB2312" w:eastAsia="CESI仿宋-GB2312" w:cs="CESI仿宋-GB2312"/>
          <w:sz w:val="28"/>
          <w:szCs w:val="28"/>
          <w:lang w:eastAsia="zh-CN"/>
        </w:rPr>
        <w:t>供应商</w:t>
      </w:r>
      <w:r>
        <w:rPr>
          <w:rFonts w:hint="eastAsia" w:ascii="CESI仿宋-GB2312" w:hAnsi="CESI仿宋-GB2312" w:eastAsia="CESI仿宋-GB2312" w:cs="CESI仿宋-GB2312"/>
          <w:sz w:val="28"/>
          <w:szCs w:val="28"/>
        </w:rPr>
        <w:t>的公章和联系人、联系方式，传真件、复印件均不是有效文件。采购人</w:t>
      </w:r>
      <w:r>
        <w:rPr>
          <w:rFonts w:hint="eastAsia" w:ascii="CESI仿宋-GB2312" w:hAnsi="CESI仿宋-GB2312" w:eastAsia="CESI仿宋-GB2312" w:cs="CESI仿宋-GB2312"/>
          <w:sz w:val="28"/>
          <w:szCs w:val="28"/>
          <w:lang w:val="en-US" w:eastAsia="zh-CN"/>
        </w:rPr>
        <w:t>将</w:t>
      </w:r>
      <w:r>
        <w:rPr>
          <w:rFonts w:hint="eastAsia" w:ascii="CESI仿宋-GB2312" w:hAnsi="CESI仿宋-GB2312" w:eastAsia="CESI仿宋-GB2312" w:cs="CESI仿宋-GB2312"/>
          <w:sz w:val="28"/>
          <w:szCs w:val="28"/>
        </w:rPr>
        <w:t>对磋商供应商所要求澄清的内容均以书面形式予以答复。必要时，</w:t>
      </w:r>
      <w:r>
        <w:rPr>
          <w:rFonts w:hint="eastAsia" w:ascii="CESI仿宋-GB2312" w:hAnsi="CESI仿宋-GB2312" w:eastAsia="CESI仿宋-GB2312" w:cs="CESI仿宋-GB2312"/>
          <w:sz w:val="28"/>
          <w:szCs w:val="28"/>
          <w:lang w:eastAsia="zh-CN"/>
        </w:rPr>
        <w:t>采购方</w:t>
      </w:r>
      <w:r>
        <w:rPr>
          <w:rFonts w:hint="eastAsia" w:ascii="CESI仿宋-GB2312" w:hAnsi="CESI仿宋-GB2312" w:eastAsia="CESI仿宋-GB2312" w:cs="CESI仿宋-GB2312"/>
          <w:sz w:val="28"/>
          <w:szCs w:val="28"/>
        </w:rPr>
        <w:t>将组织相关专家召开答疑会，并将会议内容以书面的形式发给每个购买竞争性磋商文件的潜在磋商供应商，答复中不包括问题的来源。</w:t>
      </w:r>
    </w:p>
    <w:p>
      <w:pPr>
        <w:pageBreakBefore w:val="0"/>
        <w:numPr>
          <w:ilvl w:val="0"/>
          <w:numId w:val="0"/>
        </w:numPr>
        <w:tabs>
          <w:tab w:val="left" w:pos="0"/>
        </w:tabs>
        <w:topLinePunct w:val="0"/>
        <w:bidi w:val="0"/>
        <w:spacing w:beforeAutospacing="0" w:line="500" w:lineRule="exact"/>
        <w:ind w:right="0" w:rightChars="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5.2</w:t>
      </w:r>
      <w:r>
        <w:rPr>
          <w:rFonts w:hint="eastAsia" w:ascii="CESI仿宋-GB2312" w:hAnsi="CESI仿宋-GB2312" w:eastAsia="CESI仿宋-GB2312" w:cs="CESI仿宋-GB2312"/>
          <w:sz w:val="28"/>
          <w:szCs w:val="28"/>
        </w:rPr>
        <w:t>磋商供应商在规定的时间内未对竞争性磋商文件澄清或提出疑问的，</w:t>
      </w:r>
      <w:r>
        <w:rPr>
          <w:rFonts w:hint="eastAsia" w:ascii="CESI仿宋-GB2312" w:hAnsi="CESI仿宋-GB2312" w:eastAsia="CESI仿宋-GB2312" w:cs="CESI仿宋-GB2312"/>
          <w:sz w:val="28"/>
          <w:szCs w:val="28"/>
          <w:lang w:val="en-US" w:eastAsia="zh-CN"/>
        </w:rPr>
        <w:t>采购方</w:t>
      </w:r>
      <w:r>
        <w:rPr>
          <w:rFonts w:hint="eastAsia" w:ascii="CESI仿宋-GB2312" w:hAnsi="CESI仿宋-GB2312" w:eastAsia="CESI仿宋-GB2312" w:cs="CESI仿宋-GB2312"/>
          <w:sz w:val="28"/>
          <w:szCs w:val="28"/>
        </w:rPr>
        <w:t>将视其为同意。</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bCs/>
          <w:sz w:val="28"/>
          <w:szCs w:val="28"/>
        </w:rPr>
      </w:pPr>
      <w:r>
        <w:rPr>
          <w:rFonts w:hint="eastAsia" w:ascii="CESI仿宋-GB2312" w:hAnsi="CESI仿宋-GB2312" w:eastAsia="CESI仿宋-GB2312" w:cs="CESI仿宋-GB2312"/>
          <w:b/>
          <w:bCs w:val="0"/>
          <w:sz w:val="28"/>
          <w:szCs w:val="28"/>
        </w:rPr>
        <w:t>6.</w:t>
      </w:r>
      <w:r>
        <w:rPr>
          <w:rFonts w:hint="eastAsia" w:ascii="CESI仿宋-GB2312" w:hAnsi="CESI仿宋-GB2312" w:eastAsia="CESI仿宋-GB2312" w:cs="CESI仿宋-GB2312"/>
          <w:bCs/>
          <w:sz w:val="28"/>
          <w:szCs w:val="28"/>
        </w:rPr>
        <w:t>竞争性磋商文件的修改</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6.1</w:t>
      </w:r>
      <w:r>
        <w:rPr>
          <w:rFonts w:hint="eastAsia" w:ascii="CESI仿宋-GB2312" w:hAnsi="CESI仿宋-GB2312" w:eastAsia="CESI仿宋-GB2312" w:cs="CESI仿宋-GB2312"/>
          <w:sz w:val="28"/>
          <w:szCs w:val="28"/>
        </w:rPr>
        <w:t>在投标截止时间五日以前，无论出于何种原因，采购人可以主动地或在解答磋商供应商提出的疑问时对竞争性磋商文件进行修改。</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6.2</w:t>
      </w:r>
      <w:r>
        <w:rPr>
          <w:rFonts w:hint="eastAsia" w:ascii="CESI仿宋-GB2312" w:hAnsi="CESI仿宋-GB2312" w:eastAsia="CESI仿宋-GB2312" w:cs="CESI仿宋-GB2312"/>
          <w:sz w:val="28"/>
          <w:szCs w:val="28"/>
        </w:rPr>
        <w:t>修改后的内容是竞争性磋商文件的组成部分，将以书面形式通知所有购买竞争性磋商文件的潜在磋商供应商，并对潜在磋商供应商具有约束力。潜在磋商供应商在收到上述通知后，应立即以书面形式向采购人确认。</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6.3</w:t>
      </w:r>
      <w:r>
        <w:rPr>
          <w:rFonts w:hint="eastAsia" w:ascii="CESI仿宋-GB2312" w:hAnsi="CESI仿宋-GB2312" w:eastAsia="CESI仿宋-GB2312" w:cs="CESI仿宋-GB2312"/>
          <w:sz w:val="28"/>
          <w:szCs w:val="28"/>
        </w:rPr>
        <w:t>为使磋商供应商准备投标时有充足时间对竞争性磋商文件的修改部分进行研究，采购人可适当推迟投标截止期，并书面通知所有购买竞争性磋商文件的潜在磋商供应商。</w:t>
      </w:r>
    </w:p>
    <w:p>
      <w:pPr>
        <w:keepNext/>
        <w:keepLines/>
        <w:pageBreakBefore w:val="0"/>
        <w:topLinePunct w:val="0"/>
        <w:bidi w:val="0"/>
        <w:spacing w:beforeAutospacing="0" w:line="500" w:lineRule="exact"/>
        <w:ind w:left="0" w:right="0" w:firstLine="562" w:firstLineChars="200"/>
        <w:jc w:val="both"/>
        <w:outlineLvl w:val="2"/>
        <w:rPr>
          <w:rFonts w:hint="eastAsia" w:ascii="CESI仿宋-GB2312" w:hAnsi="CESI仿宋-GB2312" w:eastAsia="CESI仿宋-GB2312" w:cs="CESI仿宋-GB2312"/>
          <w:b/>
          <w:bCs/>
          <w:sz w:val="28"/>
          <w:szCs w:val="28"/>
        </w:rPr>
      </w:pPr>
      <w:bookmarkStart w:id="7" w:name="_Toc12706"/>
      <w:bookmarkStart w:id="8" w:name="_Toc4010"/>
      <w:bookmarkStart w:id="9" w:name="_Toc28538"/>
      <w:bookmarkStart w:id="10" w:name="_Toc27847"/>
      <w:r>
        <w:rPr>
          <w:rFonts w:hint="eastAsia" w:ascii="CESI仿宋-GB2312" w:hAnsi="CESI仿宋-GB2312" w:eastAsia="CESI仿宋-GB2312" w:cs="CESI仿宋-GB2312"/>
          <w:b/>
          <w:bCs/>
          <w:sz w:val="28"/>
          <w:szCs w:val="28"/>
          <w:lang w:eastAsia="zh-CN"/>
        </w:rPr>
        <w:t>（三）</w:t>
      </w:r>
      <w:r>
        <w:rPr>
          <w:rFonts w:hint="eastAsia" w:ascii="CESI仿宋-GB2312" w:hAnsi="CESI仿宋-GB2312" w:eastAsia="CESI仿宋-GB2312" w:cs="CESI仿宋-GB2312"/>
          <w:b/>
          <w:bCs/>
          <w:sz w:val="28"/>
          <w:szCs w:val="28"/>
        </w:rPr>
        <w:t>响应文件的编制</w:t>
      </w:r>
      <w:bookmarkEnd w:id="7"/>
      <w:bookmarkEnd w:id="8"/>
      <w:bookmarkEnd w:id="9"/>
      <w:bookmarkEnd w:id="10"/>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bCs/>
          <w:sz w:val="28"/>
          <w:szCs w:val="28"/>
        </w:rPr>
      </w:pPr>
      <w:r>
        <w:rPr>
          <w:rFonts w:hint="eastAsia" w:ascii="CESI仿宋-GB2312" w:hAnsi="CESI仿宋-GB2312" w:eastAsia="CESI仿宋-GB2312" w:cs="CESI仿宋-GB2312"/>
          <w:b/>
          <w:bCs w:val="0"/>
          <w:sz w:val="28"/>
          <w:szCs w:val="28"/>
        </w:rPr>
        <w:t>7.</w:t>
      </w:r>
      <w:r>
        <w:rPr>
          <w:rFonts w:hint="eastAsia" w:ascii="CESI仿宋-GB2312" w:hAnsi="CESI仿宋-GB2312" w:eastAsia="CESI仿宋-GB2312" w:cs="CESI仿宋-GB2312"/>
          <w:bCs/>
          <w:sz w:val="28"/>
          <w:szCs w:val="28"/>
        </w:rPr>
        <w:t>投标的语言及度量衡单位</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val="0"/>
          <w:sz w:val="28"/>
          <w:szCs w:val="28"/>
          <w:lang w:val="en-US" w:eastAsia="zh-CN"/>
        </w:rPr>
        <w:t>7.1</w:t>
      </w:r>
      <w:r>
        <w:rPr>
          <w:rFonts w:hint="eastAsia" w:ascii="CESI仿宋-GB2312" w:hAnsi="CESI仿宋-GB2312" w:eastAsia="CESI仿宋-GB2312" w:cs="CESI仿宋-GB2312"/>
          <w:sz w:val="28"/>
          <w:szCs w:val="28"/>
        </w:rPr>
        <w:t>磋商供应商提交的响应文件以及磋商供应商与采购人就有关投标的所有来往电函均应使用简体中文。磋商供应商提交的支持文件或印刷的文献可以用另一种语言，但相应内容应附有简体中文翻译本，在解释响应文件的修改内容时以简体中文翻译本为准。</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7.2</w:t>
      </w:r>
      <w:r>
        <w:rPr>
          <w:rFonts w:hint="eastAsia" w:ascii="CESI仿宋-GB2312" w:hAnsi="CESI仿宋-GB2312" w:eastAsia="CESI仿宋-GB2312" w:cs="CESI仿宋-GB2312"/>
          <w:sz w:val="28"/>
          <w:szCs w:val="28"/>
        </w:rPr>
        <w:t>除竞争性磋商文件另有规定外，响应文件中使用的计量单位应使用中华人民共和国法定计量单位。</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sz w:val="28"/>
          <w:szCs w:val="28"/>
        </w:rPr>
        <w:t>8.响应文件的构成</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8.1</w:t>
      </w:r>
      <w:r>
        <w:rPr>
          <w:rFonts w:hint="eastAsia" w:ascii="CESI仿宋-GB2312" w:hAnsi="CESI仿宋-GB2312" w:eastAsia="CESI仿宋-GB2312" w:cs="CESI仿宋-GB2312"/>
          <w:sz w:val="28"/>
          <w:szCs w:val="28"/>
        </w:rPr>
        <w:t>磋商供应商编制的响应文件应包括但不少于下列内容：</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8.1.1</w:t>
      </w:r>
      <w:r>
        <w:rPr>
          <w:rFonts w:hint="eastAsia" w:ascii="CESI仿宋-GB2312" w:hAnsi="CESI仿宋-GB2312" w:eastAsia="CESI仿宋-GB2312" w:cs="CESI仿宋-GB2312"/>
          <w:sz w:val="28"/>
          <w:szCs w:val="28"/>
        </w:rPr>
        <w:t>投标承诺书</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8.1.2</w:t>
      </w:r>
      <w:r>
        <w:rPr>
          <w:rFonts w:hint="eastAsia" w:ascii="CESI仿宋-GB2312" w:hAnsi="CESI仿宋-GB2312" w:eastAsia="CESI仿宋-GB2312" w:cs="CESI仿宋-GB2312"/>
          <w:sz w:val="28"/>
          <w:szCs w:val="28"/>
        </w:rPr>
        <w:t>法定代表人授权委托书</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8.1.3</w:t>
      </w:r>
      <w:r>
        <w:rPr>
          <w:rFonts w:hint="eastAsia" w:ascii="CESI仿宋-GB2312" w:hAnsi="CESI仿宋-GB2312" w:eastAsia="CESI仿宋-GB2312" w:cs="CESI仿宋-GB2312"/>
          <w:sz w:val="28"/>
          <w:szCs w:val="28"/>
        </w:rPr>
        <w:t>首轮报价表</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8.1.4</w:t>
      </w:r>
      <w:r>
        <w:rPr>
          <w:rFonts w:hint="eastAsia" w:ascii="CESI仿宋-GB2312" w:hAnsi="CESI仿宋-GB2312" w:eastAsia="CESI仿宋-GB2312" w:cs="CESI仿宋-GB2312"/>
          <w:sz w:val="28"/>
          <w:szCs w:val="28"/>
        </w:rPr>
        <w:t>分项报价明细表</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8.1.5</w:t>
      </w:r>
      <w:r>
        <w:rPr>
          <w:rFonts w:hint="eastAsia" w:ascii="CESI仿宋-GB2312" w:hAnsi="CESI仿宋-GB2312" w:eastAsia="CESI仿宋-GB2312" w:cs="CESI仿宋-GB2312"/>
          <w:sz w:val="28"/>
          <w:szCs w:val="28"/>
        </w:rPr>
        <w:t>投标方案</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8.1.6</w:t>
      </w:r>
      <w:r>
        <w:rPr>
          <w:rFonts w:hint="eastAsia" w:ascii="CESI仿宋-GB2312" w:hAnsi="CESI仿宋-GB2312" w:eastAsia="CESI仿宋-GB2312" w:cs="CESI仿宋-GB2312"/>
          <w:sz w:val="28"/>
          <w:szCs w:val="28"/>
        </w:rPr>
        <w:t>本项目设备及人员配置</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8.1.7</w:t>
      </w:r>
      <w:r>
        <w:rPr>
          <w:rFonts w:hint="eastAsia" w:ascii="CESI仿宋-GB2312" w:hAnsi="CESI仿宋-GB2312" w:eastAsia="CESI仿宋-GB2312" w:cs="CESI仿宋-GB2312"/>
          <w:sz w:val="28"/>
          <w:szCs w:val="28"/>
        </w:rPr>
        <w:t>供应商基本情况登记表</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8.1.8</w:t>
      </w:r>
      <w:r>
        <w:rPr>
          <w:rFonts w:hint="eastAsia" w:ascii="CESI仿宋-GB2312" w:hAnsi="CESI仿宋-GB2312" w:eastAsia="CESI仿宋-GB2312" w:cs="CESI仿宋-GB2312"/>
          <w:sz w:val="28"/>
          <w:szCs w:val="28"/>
        </w:rPr>
        <w:t>各类证明材料</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sz w:val="28"/>
          <w:szCs w:val="28"/>
        </w:rPr>
        <w:t>9.响应文件编制</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9.1</w:t>
      </w:r>
      <w:r>
        <w:rPr>
          <w:rFonts w:hint="eastAsia" w:ascii="CESI仿宋-GB2312" w:hAnsi="CESI仿宋-GB2312" w:eastAsia="CESI仿宋-GB2312" w:cs="CESI仿宋-GB2312"/>
          <w:sz w:val="28"/>
          <w:szCs w:val="28"/>
        </w:rPr>
        <w:t>磋商供应商对竞争性磋商文件中多个包进行投标的，其响应文件的编制应按每包要求分别装订和封装。磋商供应商应当对响应文件进行装订，对未经装订的响应文件可能发生的文件散落或缺损，因此产生的后果及其责任由磋商供应商承担。</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（一）</w:t>
      </w:r>
      <w:r>
        <w:rPr>
          <w:rFonts w:hint="eastAsia" w:ascii="CESI仿宋-GB2312" w:hAnsi="CESI仿宋-GB2312" w:eastAsia="CESI仿宋-GB2312" w:cs="CESI仿宋-GB2312"/>
          <w:sz w:val="28"/>
          <w:szCs w:val="28"/>
        </w:rPr>
        <w:t>磋商供应商应准备三份响应文件，正本一份、副本二份。在每一份响应文件上要明确注明“正本”或“副本”字样，若正本和副本有差异，以正本为准，标书装订必须胶装，活页装订：打孔、拉杆装订的视为无效投标。</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（二）</w:t>
      </w:r>
      <w:r>
        <w:rPr>
          <w:rFonts w:hint="eastAsia" w:ascii="CESI仿宋-GB2312" w:hAnsi="CESI仿宋-GB2312" w:eastAsia="CESI仿宋-GB2312" w:cs="CESI仿宋-GB2312"/>
          <w:sz w:val="28"/>
          <w:szCs w:val="28"/>
        </w:rPr>
        <w:t>磋商供应商应将响应文件正本、副本分别单独密封。为方便开标、唱标，请磋商供应商将“首轮报价表”单独密封，如与响应文件正本不符，按响应文件正本内容为准。与响应文件同时提交并在封面明显处注明项目名称、正本或副本、磋商供应商名称（加盖公章）、地址、电话。</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（三）</w:t>
      </w:r>
      <w:r>
        <w:rPr>
          <w:rFonts w:hint="eastAsia" w:ascii="CESI仿宋-GB2312" w:hAnsi="CESI仿宋-GB2312" w:eastAsia="CESI仿宋-GB2312" w:cs="CESI仿宋-GB2312"/>
          <w:sz w:val="28"/>
          <w:szCs w:val="28"/>
        </w:rPr>
        <w:t>每一密封文件在封口处加盖磋商供应商单位公章并注明“</w:t>
      </w:r>
      <w:r>
        <w:rPr>
          <w:rFonts w:hint="eastAsia" w:ascii="CESI仿宋-GB2312" w:hAnsi="CESI仿宋-GB2312" w:eastAsia="CESI仿宋-GB2312" w:cs="CESI仿宋-GB2312"/>
          <w:b/>
          <w:bCs/>
          <w:sz w:val="28"/>
          <w:szCs w:val="28"/>
        </w:rPr>
        <w:t>于2024年12月</w:t>
      </w:r>
      <w:r>
        <w:rPr>
          <w:rFonts w:hint="eastAsia" w:ascii="CESI仿宋-GB2312" w:hAnsi="CESI仿宋-GB2312" w:eastAsia="CESI仿宋-GB2312" w:cs="CESI仿宋-GB2312"/>
          <w:b/>
          <w:bCs/>
          <w:sz w:val="28"/>
          <w:szCs w:val="28"/>
          <w:lang w:val="en-US" w:eastAsia="zh-CN"/>
        </w:rPr>
        <w:t>5</w:t>
      </w:r>
      <w:r>
        <w:rPr>
          <w:rFonts w:hint="eastAsia" w:ascii="CESI仿宋-GB2312" w:hAnsi="CESI仿宋-GB2312" w:eastAsia="CESI仿宋-GB2312" w:cs="CESI仿宋-GB2312"/>
          <w:b/>
          <w:bCs/>
          <w:sz w:val="28"/>
          <w:szCs w:val="28"/>
        </w:rPr>
        <w:t>日</w:t>
      </w:r>
      <w:r>
        <w:rPr>
          <w:rFonts w:hint="eastAsia" w:ascii="CESI仿宋-GB2312" w:hAnsi="CESI仿宋-GB2312" w:eastAsia="CESI仿宋-GB2312" w:cs="CESI仿宋-GB2312"/>
          <w:b/>
          <w:bCs/>
          <w:sz w:val="28"/>
          <w:szCs w:val="28"/>
          <w:lang w:val="en-US" w:eastAsia="zh-CN"/>
        </w:rPr>
        <w:t>15</w:t>
      </w:r>
      <w:r>
        <w:rPr>
          <w:rFonts w:hint="eastAsia" w:ascii="CESI仿宋-GB2312" w:hAnsi="CESI仿宋-GB2312" w:eastAsia="CESI仿宋-GB2312" w:cs="CESI仿宋-GB2312"/>
          <w:b/>
          <w:bCs/>
          <w:sz w:val="28"/>
          <w:szCs w:val="28"/>
        </w:rPr>
        <w:t>时</w:t>
      </w:r>
      <w:r>
        <w:rPr>
          <w:rFonts w:hint="eastAsia" w:ascii="CESI仿宋-GB2312" w:hAnsi="CESI仿宋-GB2312" w:eastAsia="CESI仿宋-GB2312" w:cs="CESI仿宋-GB2312"/>
          <w:b/>
          <w:bCs/>
          <w:sz w:val="28"/>
          <w:szCs w:val="28"/>
          <w:lang w:val="en-US" w:eastAsia="zh-CN"/>
        </w:rPr>
        <w:t>0</w:t>
      </w:r>
      <w:r>
        <w:rPr>
          <w:rFonts w:hint="eastAsia" w:ascii="CESI仿宋-GB2312" w:hAnsi="CESI仿宋-GB2312" w:eastAsia="CESI仿宋-GB2312" w:cs="CESI仿宋-GB2312"/>
          <w:b/>
          <w:bCs/>
          <w:sz w:val="28"/>
          <w:szCs w:val="28"/>
        </w:rPr>
        <w:t>0分00秒</w:t>
      </w:r>
      <w:r>
        <w:rPr>
          <w:rFonts w:hint="eastAsia" w:ascii="CESI仿宋-GB2312" w:hAnsi="CESI仿宋-GB2312" w:eastAsia="CESI仿宋-GB2312" w:cs="CESI仿宋-GB2312"/>
          <w:b/>
          <w:bCs/>
          <w:sz w:val="28"/>
          <w:szCs w:val="28"/>
          <w:lang w:eastAsia="zh-CN"/>
        </w:rPr>
        <w:t>时</w:t>
      </w:r>
      <w:r>
        <w:rPr>
          <w:rFonts w:hint="eastAsia" w:ascii="CESI仿宋-GB2312" w:hAnsi="CESI仿宋-GB2312" w:eastAsia="CESI仿宋-GB2312" w:cs="CESI仿宋-GB2312"/>
          <w:b/>
          <w:bCs/>
          <w:sz w:val="28"/>
          <w:szCs w:val="28"/>
        </w:rPr>
        <w:t>之前不准启封</w:t>
      </w:r>
      <w:r>
        <w:rPr>
          <w:rFonts w:hint="eastAsia" w:ascii="CESI仿宋-GB2312" w:hAnsi="CESI仿宋-GB2312" w:eastAsia="CESI仿宋-GB2312" w:cs="CESI仿宋-GB2312"/>
          <w:sz w:val="28"/>
          <w:szCs w:val="28"/>
        </w:rPr>
        <w:t>”字样。</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9.2</w:t>
      </w:r>
      <w:r>
        <w:rPr>
          <w:rFonts w:hint="eastAsia" w:ascii="CESI仿宋-GB2312" w:hAnsi="CESI仿宋-GB2312" w:eastAsia="CESI仿宋-GB2312" w:cs="CESI仿宋-GB2312"/>
          <w:sz w:val="28"/>
          <w:szCs w:val="28"/>
        </w:rPr>
        <w:t>磋商供应商应完整地填写竞争性磋商文件中提供的投标书、首轮报价表、投标分项报价表、电子版等竞争性磋商文件中规定的所有内容。</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9.3</w:t>
      </w:r>
      <w:r>
        <w:rPr>
          <w:rFonts w:hint="eastAsia" w:ascii="CESI仿宋-GB2312" w:hAnsi="CESI仿宋-GB2312" w:eastAsia="CESI仿宋-GB2312" w:cs="CESI仿宋-GB2312"/>
          <w:sz w:val="28"/>
          <w:szCs w:val="28"/>
        </w:rPr>
        <w:t>磋商供应商必须保证响应文件所提供的全部资料真实可靠，并接受</w:t>
      </w:r>
      <w:r>
        <w:rPr>
          <w:rFonts w:hint="eastAsia" w:ascii="CESI仿宋-GB2312" w:hAnsi="CESI仿宋-GB2312" w:eastAsia="CESI仿宋-GB2312" w:cs="CESI仿宋-GB2312"/>
          <w:sz w:val="28"/>
          <w:szCs w:val="28"/>
          <w:lang w:eastAsia="zh-CN"/>
        </w:rPr>
        <w:t>采购方</w:t>
      </w:r>
      <w:r>
        <w:rPr>
          <w:rFonts w:hint="eastAsia" w:ascii="CESI仿宋-GB2312" w:hAnsi="CESI仿宋-GB2312" w:eastAsia="CESI仿宋-GB2312" w:cs="CESI仿宋-GB2312"/>
          <w:sz w:val="28"/>
          <w:szCs w:val="28"/>
        </w:rPr>
        <w:t>对其中任何资料进一步核实的要求。</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9.4</w:t>
      </w:r>
      <w:r>
        <w:rPr>
          <w:rFonts w:hint="eastAsia" w:ascii="CESI仿宋-GB2312" w:hAnsi="CESI仿宋-GB2312" w:eastAsia="CESI仿宋-GB2312" w:cs="CESI仿宋-GB2312"/>
          <w:sz w:val="28"/>
          <w:szCs w:val="28"/>
        </w:rPr>
        <w:t>如果因为磋商供应商响应文件填报的内容不详，或没有提供竞争性磋商文件中所要求的全部资料及数据，由此造成的后果，其责任由磋商供应商承担。</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9.5</w:t>
      </w:r>
      <w:r>
        <w:rPr>
          <w:rFonts w:hint="eastAsia" w:ascii="CESI仿宋-GB2312" w:hAnsi="CESI仿宋-GB2312" w:eastAsia="CESI仿宋-GB2312" w:cs="CESI仿宋-GB2312"/>
          <w:sz w:val="28"/>
          <w:szCs w:val="28"/>
        </w:rPr>
        <w:t>响应文件用纸外形尺寸应统一为A4纸规格。</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sz w:val="28"/>
          <w:szCs w:val="28"/>
        </w:rPr>
        <w:t>10.报价</w:t>
      </w:r>
    </w:p>
    <w:p>
      <w:pPr>
        <w:pageBreakBefore w:val="0"/>
        <w:numPr>
          <w:ilvl w:val="0"/>
          <w:numId w:val="0"/>
        </w:numPr>
        <w:tabs>
          <w:tab w:val="left" w:pos="1060"/>
        </w:tabs>
        <w:topLinePunct w:val="0"/>
        <w:bidi w:val="0"/>
        <w:spacing w:beforeAutospacing="0" w:line="500" w:lineRule="exact"/>
        <w:ind w:right="0" w:rightChars="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10.1</w:t>
      </w:r>
      <w:r>
        <w:rPr>
          <w:rFonts w:hint="eastAsia" w:ascii="CESI仿宋-GB2312" w:hAnsi="CESI仿宋-GB2312" w:eastAsia="CESI仿宋-GB2312" w:cs="CESI仿宋-GB2312"/>
          <w:sz w:val="28"/>
          <w:szCs w:val="28"/>
        </w:rPr>
        <w:t>磋商供应商所提供的服务均以人民币报价。</w:t>
      </w:r>
    </w:p>
    <w:p>
      <w:pPr>
        <w:pageBreakBefore w:val="0"/>
        <w:numPr>
          <w:ilvl w:val="0"/>
          <w:numId w:val="0"/>
        </w:numPr>
        <w:tabs>
          <w:tab w:val="left" w:pos="1070"/>
        </w:tabs>
        <w:topLinePunct w:val="0"/>
        <w:bidi w:val="0"/>
        <w:spacing w:beforeAutospacing="0" w:line="500" w:lineRule="exact"/>
        <w:ind w:right="0" w:rightChars="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10.2</w:t>
      </w:r>
      <w:r>
        <w:rPr>
          <w:rFonts w:hint="eastAsia" w:ascii="CESI仿宋-GB2312" w:hAnsi="CESI仿宋-GB2312" w:eastAsia="CESI仿宋-GB2312" w:cs="CESI仿宋-GB2312"/>
          <w:sz w:val="28"/>
          <w:szCs w:val="28"/>
        </w:rPr>
        <w:t>磋商供应商应按照“第六章响应文件格式与要求”的服务内容、责任范围以及合同条款进行报价。竞标总价中不得包含竞争性磋商文件要求以外的内容，否则，在评审时不予核减。</w:t>
      </w:r>
    </w:p>
    <w:p>
      <w:pPr>
        <w:pageBreakBefore w:val="0"/>
        <w:tabs>
          <w:tab w:val="left" w:pos="1070"/>
        </w:tabs>
        <w:topLinePunct w:val="0"/>
        <w:bidi w:val="0"/>
        <w:spacing w:beforeAutospacing="0" w:line="500" w:lineRule="exact"/>
        <w:ind w:left="0" w:right="0" w:firstLine="562" w:firstLineChars="200"/>
        <w:rPr>
          <w:rFonts w:hint="eastAsia" w:ascii="CESI仿宋-GB2312" w:hAnsi="CESI仿宋-GB2312" w:eastAsia="CESI仿宋-GB2312" w:cs="CESI仿宋-GB2312"/>
          <w:color w:val="FF0000"/>
          <w:sz w:val="28"/>
          <w:szCs w:val="28"/>
        </w:rPr>
      </w:pPr>
      <w:r>
        <w:rPr>
          <w:rFonts w:hint="eastAsia" w:ascii="CESI仿宋-GB2312" w:hAnsi="CESI仿宋-GB2312" w:eastAsia="CESI仿宋-GB2312" w:cs="CESI仿宋-GB2312"/>
          <w:b/>
          <w:bCs/>
          <w:sz w:val="28"/>
          <w:szCs w:val="28"/>
        </w:rPr>
        <w:t>10.3</w:t>
      </w:r>
      <w:r>
        <w:rPr>
          <w:rFonts w:hint="eastAsia" w:ascii="CESI仿宋-GB2312" w:hAnsi="CESI仿宋-GB2312" w:eastAsia="CESI仿宋-GB2312" w:cs="CESI仿宋-GB2312"/>
          <w:sz w:val="28"/>
          <w:szCs w:val="28"/>
        </w:rPr>
        <w:t>磋商供应商应按竞争性磋商文件“首轮报价表”要求的统一格式填写，并由法人代表或授权代表签署并加盖公章。此表除在响应文件中提供外，还要将另一份完全相同的“首轮报价表”单独密封，投标时单独递交，在开标大会上供唱标使用。以上内容缺一不可，否则视为无效竞标。</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10.4</w:t>
      </w:r>
      <w:r>
        <w:rPr>
          <w:rFonts w:hint="eastAsia" w:ascii="CESI仿宋-GB2312" w:hAnsi="CESI仿宋-GB2312" w:eastAsia="CESI仿宋-GB2312" w:cs="CESI仿宋-GB2312"/>
          <w:sz w:val="28"/>
          <w:szCs w:val="28"/>
        </w:rPr>
        <w:t>《费用报价表》填写时应响应下列要求：</w:t>
      </w:r>
    </w:p>
    <w:p>
      <w:pPr>
        <w:pageBreakBefore w:val="0"/>
        <w:topLinePunct w:val="0"/>
        <w:bidi w:val="0"/>
        <w:spacing w:beforeAutospacing="0" w:line="500" w:lineRule="exact"/>
        <w:ind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10.4.1</w:t>
      </w:r>
      <w:r>
        <w:rPr>
          <w:rFonts w:hint="eastAsia" w:ascii="CESI仿宋-GB2312" w:hAnsi="CESI仿宋-GB2312" w:eastAsia="CESI仿宋-GB2312" w:cs="CESI仿宋-GB2312"/>
          <w:sz w:val="28"/>
          <w:szCs w:val="28"/>
        </w:rPr>
        <w:t>对于报价免费的项目应标明“免费”；</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10.4.2</w:t>
      </w:r>
      <w:r>
        <w:rPr>
          <w:rFonts w:hint="eastAsia" w:ascii="CESI仿宋-GB2312" w:hAnsi="CESI仿宋-GB2312" w:eastAsia="CESI仿宋-GB2312" w:cs="CESI仿宋-GB2312"/>
          <w:sz w:val="28"/>
          <w:szCs w:val="28"/>
        </w:rPr>
        <w:t>报价包括：必要的保险和各种税费；售后服务及根据最新的法律法规及政策性文件调整服务方案等费用；</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10.4.3</w:t>
      </w:r>
      <w:r>
        <w:rPr>
          <w:rFonts w:hint="eastAsia" w:ascii="CESI仿宋-GB2312" w:hAnsi="CESI仿宋-GB2312" w:eastAsia="CESI仿宋-GB2312" w:cs="CESI仿宋-GB2312"/>
          <w:sz w:val="28"/>
          <w:szCs w:val="28"/>
        </w:rPr>
        <w:t>在磋商时承诺的拟派人员无法满足工作的实际需要时，成交供应商必须按采购人要求无条件增加咨询人员，且不得要求增加费用。</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10.5</w:t>
      </w:r>
      <w:r>
        <w:rPr>
          <w:rFonts w:hint="eastAsia" w:ascii="CESI仿宋-GB2312" w:hAnsi="CESI仿宋-GB2312" w:eastAsia="CESI仿宋-GB2312" w:cs="CESI仿宋-GB2312"/>
          <w:sz w:val="28"/>
          <w:szCs w:val="28"/>
        </w:rPr>
        <w:t>磋商供应商的最终报价在合同执行过程中是固定不变的，不得以任何理由予以变更。</w:t>
      </w:r>
    </w:p>
    <w:p>
      <w:pPr>
        <w:pageBreakBefore w:val="0"/>
        <w:numPr>
          <w:ilvl w:val="0"/>
          <w:numId w:val="0"/>
        </w:numPr>
        <w:topLinePunct w:val="0"/>
        <w:bidi w:val="0"/>
        <w:spacing w:beforeAutospacing="0" w:line="500" w:lineRule="exact"/>
        <w:ind w:right="0" w:rightChars="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10.5.1</w:t>
      </w:r>
      <w:r>
        <w:rPr>
          <w:rFonts w:hint="eastAsia" w:ascii="CESI仿宋-GB2312" w:hAnsi="CESI仿宋-GB2312" w:eastAsia="CESI仿宋-GB2312" w:cs="CESI仿宋-GB2312"/>
          <w:sz w:val="28"/>
          <w:szCs w:val="28"/>
        </w:rPr>
        <w:t>磋商报价的大写金额与小写金额不一致的，以大写金额为准进行修正。</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10.5.2</w:t>
      </w:r>
      <w:r>
        <w:rPr>
          <w:rFonts w:hint="eastAsia" w:ascii="CESI仿宋-GB2312" w:hAnsi="CESI仿宋-GB2312" w:eastAsia="CESI仿宋-GB2312" w:cs="CESI仿宋-GB2312"/>
          <w:sz w:val="28"/>
          <w:szCs w:val="28"/>
        </w:rPr>
        <w:t>磋商函中以文字表示的量和以数字表示的量不一致时，以文字表示的量为准。</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10.5.3</w:t>
      </w:r>
      <w:r>
        <w:rPr>
          <w:rFonts w:hint="eastAsia" w:ascii="CESI仿宋-GB2312" w:hAnsi="CESI仿宋-GB2312" w:eastAsia="CESI仿宋-GB2312" w:cs="CESI仿宋-GB2312"/>
          <w:sz w:val="28"/>
          <w:szCs w:val="28"/>
        </w:rPr>
        <w:t>正本与副本不一致时，以正本为准。</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10.6</w:t>
      </w:r>
      <w:r>
        <w:rPr>
          <w:rFonts w:hint="eastAsia" w:ascii="CESI仿宋-GB2312" w:hAnsi="CESI仿宋-GB2312" w:eastAsia="CESI仿宋-GB2312" w:cs="CESI仿宋-GB2312"/>
          <w:sz w:val="28"/>
          <w:szCs w:val="28"/>
        </w:rPr>
        <w:t>只允许有一个最终报价。</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sz w:val="28"/>
          <w:szCs w:val="28"/>
        </w:rPr>
        <w:t>11.备选方案</w:t>
      </w:r>
    </w:p>
    <w:p>
      <w:pPr>
        <w:pageBreakBefore w:val="0"/>
        <w:topLinePunct w:val="0"/>
        <w:bidi w:val="0"/>
        <w:spacing w:beforeAutospacing="0" w:line="500" w:lineRule="exact"/>
        <w:ind w:left="0" w:right="0"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只允许磋商供应商有一个投标方案，否则将被视为无效投标。（可以根据情况另作规定）</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sz w:val="28"/>
          <w:szCs w:val="28"/>
        </w:rPr>
        <w:t>12.联合体投标</w:t>
      </w:r>
    </w:p>
    <w:p>
      <w:pPr>
        <w:pageBreakBefore w:val="0"/>
        <w:numPr>
          <w:ilvl w:val="1"/>
          <w:numId w:val="0"/>
        </w:numPr>
        <w:tabs>
          <w:tab w:val="left" w:pos="1130"/>
        </w:tabs>
        <w:topLinePunct w:val="0"/>
        <w:bidi w:val="0"/>
        <w:spacing w:beforeAutospacing="0" w:line="500" w:lineRule="exact"/>
        <w:ind w:left="0" w:leftChars="0" w:right="0" w:rightChars="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12.1</w:t>
      </w:r>
      <w:r>
        <w:rPr>
          <w:rFonts w:hint="eastAsia" w:ascii="CESI仿宋-GB2312" w:hAnsi="CESI仿宋-GB2312" w:eastAsia="CESI仿宋-GB2312" w:cs="CESI仿宋-GB2312"/>
          <w:sz w:val="28"/>
          <w:szCs w:val="28"/>
        </w:rPr>
        <w:t>本项目不接受联合体投标。</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sz w:val="28"/>
          <w:szCs w:val="28"/>
        </w:rPr>
        <w:t>13.关于环保节能产品</w:t>
      </w:r>
    </w:p>
    <w:p>
      <w:pPr>
        <w:pStyle w:val="7"/>
        <w:pageBreakBefore w:val="0"/>
        <w:topLinePunct w:val="0"/>
        <w:bidi w:val="0"/>
        <w:adjustRightInd w:val="0"/>
        <w:snapToGrid w:val="0"/>
        <w:spacing w:beforeAutospacing="0" w:line="500" w:lineRule="exact"/>
        <w:ind w:left="0" w:right="0" w:firstLine="562" w:firstLineChars="200"/>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13.1</w:t>
      </w:r>
      <w:r>
        <w:rPr>
          <w:rFonts w:hint="eastAsia" w:ascii="CESI仿宋-GB2312" w:hAnsi="CESI仿宋-GB2312" w:eastAsia="CESI仿宋-GB2312" w:cs="CESI仿宋-GB2312"/>
          <w:sz w:val="28"/>
          <w:szCs w:val="28"/>
        </w:rPr>
        <w:t>招标人采购的产品属于节能产品强制采购的，评标时在技术、服务等指标同等条件下，应当优先采购节能清单中所列的节能产品。</w:t>
      </w:r>
      <w:r>
        <w:rPr>
          <w:rFonts w:hint="eastAsia" w:ascii="CESI仿宋-GB2312" w:hAnsi="CESI仿宋-GB2312" w:eastAsia="CESI仿宋-GB2312" w:cs="CESI仿宋-GB2312"/>
          <w:sz w:val="28"/>
          <w:szCs w:val="28"/>
          <w:lang w:eastAsia="zh-CN"/>
        </w:rPr>
        <w:t>供应商</w:t>
      </w:r>
      <w:r>
        <w:rPr>
          <w:rFonts w:hint="eastAsia" w:ascii="CESI仿宋-GB2312" w:hAnsi="CESI仿宋-GB2312" w:eastAsia="CESI仿宋-GB2312" w:cs="CESI仿宋-GB2312"/>
          <w:sz w:val="28"/>
          <w:szCs w:val="28"/>
        </w:rPr>
        <w:t>须提供投标产品型号属于《节能产品政府采购清单》范围的证明材料。（执行《财库〔2019〕9号财政部关于调整优化节能产品、环境标志产品政府采购执行机制的通知》、《内蒙古自治区财政厅发展和改革委员会生态环境厅市场监督管理局转发《财政部发展改革委生态环境部市场监管总局关于调整优化节能产品环境标志产品政府采购执行机制的通知》的通知》（内财购[2019]340号）文件）。</w:t>
      </w:r>
    </w:p>
    <w:p>
      <w:pPr>
        <w:pageBreakBefore w:val="0"/>
        <w:tabs>
          <w:tab w:val="left" w:pos="1127"/>
        </w:tabs>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sz w:val="28"/>
          <w:szCs w:val="28"/>
        </w:rPr>
        <w:t>14.中小企业和监狱企业</w:t>
      </w:r>
    </w:p>
    <w:p>
      <w:pPr>
        <w:pageBreakBefore w:val="0"/>
        <w:topLinePunct w:val="0"/>
        <w:bidi w:val="0"/>
        <w:spacing w:beforeAutospacing="0" w:line="500" w:lineRule="exact"/>
        <w:ind w:left="0" w:right="0" w:firstLine="562" w:firstLineChars="200"/>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1</w:t>
      </w:r>
      <w:r>
        <w:rPr>
          <w:rFonts w:hint="eastAsia" w:ascii="CESI仿宋-GB2312" w:hAnsi="CESI仿宋-GB2312" w:eastAsia="CESI仿宋-GB2312" w:cs="CESI仿宋-GB2312"/>
          <w:b/>
          <w:bCs/>
          <w:sz w:val="28"/>
          <w:szCs w:val="28"/>
          <w:lang w:val="en-US" w:eastAsia="zh-CN"/>
        </w:rPr>
        <w:t>4</w:t>
      </w:r>
      <w:r>
        <w:rPr>
          <w:rFonts w:hint="eastAsia" w:ascii="CESI仿宋-GB2312" w:hAnsi="CESI仿宋-GB2312" w:eastAsia="CESI仿宋-GB2312" w:cs="CESI仿宋-GB2312"/>
          <w:b/>
          <w:bCs/>
          <w:sz w:val="28"/>
          <w:szCs w:val="28"/>
        </w:rPr>
        <w:t>.1</w:t>
      </w:r>
      <w:r>
        <w:rPr>
          <w:rFonts w:hint="eastAsia" w:ascii="CESI仿宋-GB2312" w:hAnsi="CESI仿宋-GB2312" w:eastAsia="CESI仿宋-GB2312" w:cs="CESI仿宋-GB2312"/>
          <w:sz w:val="28"/>
          <w:szCs w:val="28"/>
        </w:rPr>
        <w:t>政府采购应当有助于实现国家经济和社会发展政策目标，包括保护环境，扶持不发达地区和少数民族地区，促进中小企业发展等，并按财库〔2011〕181号文件《政府采购促进中小企业发展暂行办法》、财库〔2014〕68号文件《财政部司法部关于政府采购支持监狱企业发展有关问题的通知》执行。</w:t>
      </w:r>
    </w:p>
    <w:p>
      <w:pPr>
        <w:pageBreakBefore w:val="0"/>
        <w:topLinePunct w:val="0"/>
        <w:bidi w:val="0"/>
        <w:spacing w:beforeAutospacing="0" w:line="500" w:lineRule="exact"/>
        <w:ind w:left="0" w:right="0" w:firstLine="562" w:firstLineChars="200"/>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1</w:t>
      </w:r>
      <w:r>
        <w:rPr>
          <w:rFonts w:hint="eastAsia" w:ascii="CESI仿宋-GB2312" w:hAnsi="CESI仿宋-GB2312" w:eastAsia="CESI仿宋-GB2312" w:cs="CESI仿宋-GB2312"/>
          <w:b/>
          <w:bCs/>
          <w:sz w:val="28"/>
          <w:szCs w:val="28"/>
          <w:lang w:val="en-US" w:eastAsia="zh-CN"/>
        </w:rPr>
        <w:t>4</w:t>
      </w:r>
      <w:r>
        <w:rPr>
          <w:rFonts w:hint="eastAsia" w:ascii="CESI仿宋-GB2312" w:hAnsi="CESI仿宋-GB2312" w:eastAsia="CESI仿宋-GB2312" w:cs="CESI仿宋-GB2312"/>
          <w:b/>
          <w:bCs/>
          <w:sz w:val="28"/>
          <w:szCs w:val="28"/>
        </w:rPr>
        <w:t>.2</w:t>
      </w:r>
      <w:r>
        <w:rPr>
          <w:rFonts w:hint="eastAsia" w:ascii="CESI仿宋-GB2312" w:hAnsi="CESI仿宋-GB2312" w:eastAsia="CESI仿宋-GB2312" w:cs="CESI仿宋-GB2312"/>
          <w:sz w:val="28"/>
          <w:szCs w:val="28"/>
        </w:rPr>
        <w:t>中小企业（含中型、小型、微型企业，监狱企业、下同）应当同时符合以下条件：</w:t>
      </w:r>
    </w:p>
    <w:p>
      <w:pPr>
        <w:pageBreakBefore w:val="0"/>
        <w:topLinePunct w:val="0"/>
        <w:bidi w:val="0"/>
        <w:spacing w:beforeAutospacing="0" w:line="500" w:lineRule="exact"/>
        <w:ind w:left="0" w:right="0" w:firstLine="562" w:firstLineChars="200"/>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1</w:t>
      </w:r>
      <w:r>
        <w:rPr>
          <w:rFonts w:hint="eastAsia" w:ascii="CESI仿宋-GB2312" w:hAnsi="CESI仿宋-GB2312" w:eastAsia="CESI仿宋-GB2312" w:cs="CESI仿宋-GB2312"/>
          <w:b/>
          <w:bCs/>
          <w:sz w:val="28"/>
          <w:szCs w:val="28"/>
          <w:lang w:val="en-US" w:eastAsia="zh-CN"/>
        </w:rPr>
        <w:t>4</w:t>
      </w:r>
      <w:r>
        <w:rPr>
          <w:rFonts w:hint="eastAsia" w:ascii="CESI仿宋-GB2312" w:hAnsi="CESI仿宋-GB2312" w:eastAsia="CESI仿宋-GB2312" w:cs="CESI仿宋-GB2312"/>
          <w:b/>
          <w:bCs/>
          <w:sz w:val="28"/>
          <w:szCs w:val="28"/>
        </w:rPr>
        <w:t>.2.1</w:t>
      </w:r>
      <w:r>
        <w:rPr>
          <w:rFonts w:hint="eastAsia" w:ascii="CESI仿宋-GB2312" w:hAnsi="CESI仿宋-GB2312" w:eastAsia="CESI仿宋-GB2312" w:cs="CESI仿宋-GB2312"/>
          <w:sz w:val="28"/>
          <w:szCs w:val="28"/>
        </w:rPr>
        <w:t>符合中小企业划分标准；</w:t>
      </w:r>
    </w:p>
    <w:p>
      <w:pPr>
        <w:pageBreakBefore w:val="0"/>
        <w:topLinePunct w:val="0"/>
        <w:bidi w:val="0"/>
        <w:spacing w:beforeAutospacing="0" w:line="500" w:lineRule="exact"/>
        <w:ind w:left="0" w:right="0" w:firstLine="562" w:firstLineChars="200"/>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1</w:t>
      </w:r>
      <w:r>
        <w:rPr>
          <w:rFonts w:hint="eastAsia" w:ascii="CESI仿宋-GB2312" w:hAnsi="CESI仿宋-GB2312" w:eastAsia="CESI仿宋-GB2312" w:cs="CESI仿宋-GB2312"/>
          <w:b/>
          <w:bCs/>
          <w:sz w:val="28"/>
          <w:szCs w:val="28"/>
          <w:lang w:val="en-US" w:eastAsia="zh-CN"/>
        </w:rPr>
        <w:t>4</w:t>
      </w:r>
      <w:r>
        <w:rPr>
          <w:rFonts w:hint="eastAsia" w:ascii="CESI仿宋-GB2312" w:hAnsi="CESI仿宋-GB2312" w:eastAsia="CESI仿宋-GB2312" w:cs="CESI仿宋-GB2312"/>
          <w:b/>
          <w:bCs/>
          <w:sz w:val="28"/>
          <w:szCs w:val="28"/>
        </w:rPr>
        <w:t>.2.2</w:t>
      </w:r>
      <w:r>
        <w:rPr>
          <w:rFonts w:hint="eastAsia" w:ascii="CESI仿宋-GB2312" w:hAnsi="CESI仿宋-GB2312" w:eastAsia="CESI仿宋-GB2312" w:cs="CESI仿宋-GB2312"/>
          <w:sz w:val="28"/>
          <w:szCs w:val="28"/>
        </w:rPr>
        <w:t>提供本企业制造的货物、承担的工程或者服务，或者提供其它中小企业制造的货物。本项所称货物不包括使用大型企业注册商标的货物；</w:t>
      </w:r>
    </w:p>
    <w:p>
      <w:pPr>
        <w:pageBreakBefore w:val="0"/>
        <w:topLinePunct w:val="0"/>
        <w:bidi w:val="0"/>
        <w:spacing w:beforeAutospacing="0" w:line="500" w:lineRule="exact"/>
        <w:ind w:left="0" w:right="0" w:firstLine="560" w:firstLineChars="200"/>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本项所称中小企业划分标准，是指国务院有关部门根据企业从业人员、营业收入、资产总额等指标制定的中小企业划型标准；</w:t>
      </w:r>
    </w:p>
    <w:p>
      <w:pPr>
        <w:pageBreakBefore w:val="0"/>
        <w:topLinePunct w:val="0"/>
        <w:bidi w:val="0"/>
        <w:spacing w:beforeAutospacing="0" w:line="500" w:lineRule="exact"/>
        <w:ind w:left="0" w:right="0" w:firstLine="560" w:firstLineChars="200"/>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小型、微型企业提供中型企业制造的货物的，视同为中型企业；</w:t>
      </w:r>
    </w:p>
    <w:p>
      <w:pPr>
        <w:pageBreakBefore w:val="0"/>
        <w:topLinePunct w:val="0"/>
        <w:bidi w:val="0"/>
        <w:spacing w:beforeAutospacing="0" w:line="500" w:lineRule="exact"/>
        <w:ind w:left="0" w:right="0" w:firstLine="562" w:firstLineChars="200"/>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1</w:t>
      </w:r>
      <w:r>
        <w:rPr>
          <w:rFonts w:hint="eastAsia" w:ascii="CESI仿宋-GB2312" w:hAnsi="CESI仿宋-GB2312" w:eastAsia="CESI仿宋-GB2312" w:cs="CESI仿宋-GB2312"/>
          <w:b/>
          <w:bCs/>
          <w:sz w:val="28"/>
          <w:szCs w:val="28"/>
          <w:lang w:val="en-US" w:eastAsia="zh-CN"/>
        </w:rPr>
        <w:t>4</w:t>
      </w:r>
      <w:r>
        <w:rPr>
          <w:rFonts w:hint="eastAsia" w:ascii="CESI仿宋-GB2312" w:hAnsi="CESI仿宋-GB2312" w:eastAsia="CESI仿宋-GB2312" w:cs="CESI仿宋-GB2312"/>
          <w:b/>
          <w:bCs/>
          <w:sz w:val="28"/>
          <w:szCs w:val="28"/>
        </w:rPr>
        <w:t>.3</w:t>
      </w:r>
      <w:r>
        <w:rPr>
          <w:rFonts w:hint="eastAsia" w:ascii="CESI仿宋-GB2312" w:hAnsi="CESI仿宋-GB2312" w:eastAsia="CESI仿宋-GB2312" w:cs="CESI仿宋-GB2312"/>
          <w:sz w:val="28"/>
          <w:szCs w:val="28"/>
        </w:rPr>
        <w:t>参加政府采购活动的中小企业须提供《政府采购促进中小企业发展暂行办法》中规定的《中小企业声明函》，同时提供制造商《中小企业声明函》。</w:t>
      </w:r>
    </w:p>
    <w:p>
      <w:pPr>
        <w:pageBreakBefore w:val="0"/>
        <w:topLinePunct w:val="0"/>
        <w:bidi w:val="0"/>
        <w:spacing w:beforeAutospacing="0" w:line="500" w:lineRule="exact"/>
        <w:ind w:left="0" w:right="0" w:firstLine="560" w:firstLineChars="200"/>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注：关于中小型和微型企业的认定，根据财政部、工业和信息化部印发的《政府采购促进中小企业发展暂行办法》第十五条执行；政府采购监督检查和投诉处理中对中小企业的认定，由企业所在地的县级以上中小企业主管部门负责。)</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sz w:val="28"/>
          <w:szCs w:val="28"/>
        </w:rPr>
        <w:t>15.磋商供应商资格资信证明文件</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15.1</w:t>
      </w:r>
      <w:r>
        <w:rPr>
          <w:rFonts w:hint="eastAsia" w:ascii="CESI仿宋-GB2312" w:hAnsi="CESI仿宋-GB2312" w:eastAsia="CESI仿宋-GB2312" w:cs="CESI仿宋-GB2312"/>
          <w:sz w:val="28"/>
          <w:szCs w:val="28"/>
        </w:rPr>
        <w:t>磋商供应商应提交证明其有资格参加投标和成交后有能力履行合同的文件，并作为其响应文件的一部分，应包括下列文件：</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b/>
          <w:bCs/>
          <w:sz w:val="28"/>
          <w:szCs w:val="28"/>
          <w:lang w:val="en-US" w:eastAsia="zh-CN"/>
        </w:rPr>
        <w:t>15.1.1</w:t>
      </w:r>
      <w:r>
        <w:rPr>
          <w:rFonts w:hint="eastAsia" w:ascii="CESI仿宋-GB2312" w:hAnsi="CESI仿宋-GB2312" w:eastAsia="CESI仿宋-GB2312" w:cs="CESI仿宋-GB2312"/>
          <w:sz w:val="28"/>
          <w:szCs w:val="28"/>
        </w:rPr>
        <w:t>独立法人的营业执照；</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15.1.2</w:t>
      </w:r>
      <w:r>
        <w:rPr>
          <w:rFonts w:hint="eastAsia" w:ascii="CESI仿宋-GB2312" w:hAnsi="CESI仿宋-GB2312" w:eastAsia="CESI仿宋-GB2312" w:cs="CESI仿宋-GB2312"/>
          <w:sz w:val="28"/>
          <w:szCs w:val="28"/>
        </w:rPr>
        <w:t>基本账户开户许可证；</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15.1.3</w:t>
      </w:r>
      <w:r>
        <w:rPr>
          <w:rFonts w:hint="eastAsia" w:ascii="CESI仿宋-GB2312" w:hAnsi="CESI仿宋-GB2312" w:eastAsia="CESI仿宋-GB2312" w:cs="CESI仿宋-GB2312"/>
          <w:sz w:val="28"/>
          <w:szCs w:val="28"/>
        </w:rPr>
        <w:t>委托代表投标时的法人代表授权书；</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15.1.4</w:t>
      </w:r>
      <w:r>
        <w:rPr>
          <w:rFonts w:hint="eastAsia" w:ascii="CESI仿宋-GB2312" w:hAnsi="CESI仿宋-GB2312" w:eastAsia="CESI仿宋-GB2312" w:cs="CESI仿宋-GB2312"/>
          <w:sz w:val="28"/>
          <w:szCs w:val="28"/>
        </w:rPr>
        <w:t>其他能体现供应商实力的资料及证明文件。</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15.2</w:t>
      </w:r>
      <w:r>
        <w:rPr>
          <w:rFonts w:hint="eastAsia" w:ascii="CESI仿宋-GB2312" w:hAnsi="CESI仿宋-GB2312" w:eastAsia="CESI仿宋-GB2312" w:cs="CESI仿宋-GB2312"/>
          <w:sz w:val="28"/>
          <w:szCs w:val="28"/>
        </w:rPr>
        <w:t>资格证明文件必须真实可靠、不得伪造，复印件必须加盖单位印章。</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b/>
          <w:sz w:val="28"/>
          <w:szCs w:val="28"/>
        </w:rPr>
      </w:pPr>
      <w:r>
        <w:rPr>
          <w:rFonts w:hint="eastAsia" w:ascii="CESI仿宋-GB2312" w:hAnsi="CESI仿宋-GB2312" w:eastAsia="CESI仿宋-GB2312" w:cs="CESI仿宋-GB2312"/>
          <w:b/>
          <w:sz w:val="28"/>
          <w:szCs w:val="28"/>
        </w:rPr>
        <w:t>16.投标保证金</w:t>
      </w:r>
    </w:p>
    <w:p>
      <w:pPr>
        <w:pageBreakBefore w:val="0"/>
        <w:numPr>
          <w:ilvl w:val="1"/>
          <w:numId w:val="0"/>
        </w:numPr>
        <w:tabs>
          <w:tab w:val="left" w:pos="1130"/>
        </w:tabs>
        <w:topLinePunct w:val="0"/>
        <w:bidi w:val="0"/>
        <w:spacing w:beforeAutospacing="0" w:line="500" w:lineRule="exact"/>
        <w:ind w:left="0" w:leftChars="0" w:right="0" w:rightChars="0" w:firstLine="562" w:firstLineChars="200"/>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b/>
          <w:bCs/>
          <w:sz w:val="28"/>
          <w:szCs w:val="28"/>
        </w:rPr>
        <w:t>16.1</w:t>
      </w:r>
      <w:r>
        <w:rPr>
          <w:rFonts w:hint="eastAsia" w:ascii="CESI仿宋-GB2312" w:hAnsi="CESI仿宋-GB2312" w:eastAsia="CESI仿宋-GB2312" w:cs="CESI仿宋-GB2312"/>
          <w:sz w:val="28"/>
          <w:szCs w:val="28"/>
          <w:lang w:eastAsia="zh-CN"/>
        </w:rPr>
        <w:t>本项目不收取保证金。</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sz w:val="28"/>
          <w:szCs w:val="28"/>
        </w:rPr>
        <w:t>17.投标的有效期</w:t>
      </w:r>
    </w:p>
    <w:p>
      <w:pPr>
        <w:pageBreakBefore w:val="0"/>
        <w:tabs>
          <w:tab w:val="left" w:pos="1051"/>
        </w:tabs>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17.1</w:t>
      </w:r>
      <w:r>
        <w:rPr>
          <w:rFonts w:hint="eastAsia" w:ascii="CESI仿宋-GB2312" w:hAnsi="CESI仿宋-GB2312" w:eastAsia="CESI仿宋-GB2312" w:cs="CESI仿宋-GB2312"/>
          <w:sz w:val="28"/>
          <w:szCs w:val="28"/>
        </w:rPr>
        <w:t>投标有效期从投标截止日期算起</w:t>
      </w:r>
      <w:r>
        <w:rPr>
          <w:rFonts w:hint="eastAsia" w:ascii="CESI仿宋-GB2312" w:hAnsi="CESI仿宋-GB2312" w:eastAsia="CESI仿宋-GB2312" w:cs="CESI仿宋-GB2312"/>
          <w:sz w:val="28"/>
          <w:szCs w:val="28"/>
          <w:lang w:val="en-US" w:eastAsia="zh-CN"/>
        </w:rPr>
        <w:t>90</w:t>
      </w:r>
      <w:r>
        <w:rPr>
          <w:rFonts w:hint="eastAsia" w:ascii="CESI仿宋-GB2312" w:hAnsi="CESI仿宋-GB2312" w:eastAsia="CESI仿宋-GB2312" w:cs="CESI仿宋-GB2312"/>
          <w:sz w:val="28"/>
          <w:szCs w:val="28"/>
          <w:lang w:eastAsia="zh-CN"/>
        </w:rPr>
        <w:t>日</w:t>
      </w:r>
      <w:r>
        <w:rPr>
          <w:rFonts w:hint="eastAsia" w:ascii="CESI仿宋-GB2312" w:hAnsi="CESI仿宋-GB2312" w:eastAsia="CESI仿宋-GB2312" w:cs="CESI仿宋-GB2312"/>
          <w:sz w:val="28"/>
          <w:szCs w:val="28"/>
        </w:rPr>
        <w:t>内（日历天）。磋商供应商投标有效期不响应的投标将被视为无效投标。</w:t>
      </w:r>
    </w:p>
    <w:p>
      <w:pPr>
        <w:pageBreakBefore w:val="0"/>
        <w:tabs>
          <w:tab w:val="left" w:pos="1051"/>
        </w:tabs>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17.2</w:t>
      </w:r>
      <w:r>
        <w:rPr>
          <w:rFonts w:hint="eastAsia" w:ascii="CESI仿宋-GB2312" w:hAnsi="CESI仿宋-GB2312" w:eastAsia="CESI仿宋-GB2312" w:cs="CESI仿宋-GB2312"/>
          <w:sz w:val="28"/>
          <w:szCs w:val="28"/>
        </w:rPr>
        <w:t>特殊情况下，在原投标有效期截止前，</w:t>
      </w:r>
      <w:r>
        <w:rPr>
          <w:rFonts w:hint="eastAsia" w:ascii="CESI仿宋-GB2312" w:hAnsi="CESI仿宋-GB2312" w:eastAsia="CESI仿宋-GB2312" w:cs="CESI仿宋-GB2312"/>
          <w:sz w:val="28"/>
          <w:szCs w:val="28"/>
          <w:lang w:eastAsia="zh-CN"/>
        </w:rPr>
        <w:t>采购方</w:t>
      </w:r>
      <w:r>
        <w:rPr>
          <w:rFonts w:hint="eastAsia" w:ascii="CESI仿宋-GB2312" w:hAnsi="CESI仿宋-GB2312" w:eastAsia="CESI仿宋-GB2312" w:cs="CESI仿宋-GB2312"/>
          <w:sz w:val="28"/>
          <w:szCs w:val="28"/>
        </w:rPr>
        <w:t>或采购人可要求磋商供应商延长投标有效期。这种要求与答复均应以书面形式提交。同意延长投标有效期的磋商供应商将不会被要求和允许修正其投标。</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sz w:val="28"/>
          <w:szCs w:val="28"/>
        </w:rPr>
        <w:t>18.响应文件的数量和签署</w:t>
      </w:r>
    </w:p>
    <w:p>
      <w:pPr>
        <w:pageBreakBefore w:val="0"/>
        <w:tabs>
          <w:tab w:val="left" w:pos="1051"/>
        </w:tabs>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18.1</w:t>
      </w:r>
      <w:r>
        <w:rPr>
          <w:rFonts w:hint="eastAsia" w:ascii="CESI仿宋-GB2312" w:hAnsi="CESI仿宋-GB2312" w:eastAsia="CESI仿宋-GB2312" w:cs="CESI仿宋-GB2312"/>
          <w:sz w:val="28"/>
          <w:szCs w:val="28"/>
        </w:rPr>
        <w:t>磋商供应商应编制响应文件一式三份，其中正本一份、副本二份，响应文件的副本可采用正本的复印件。每套响应文件须清楚地标明“正本”、“副本”。若副本与正本不符，以正本为准。</w:t>
      </w:r>
    </w:p>
    <w:p>
      <w:pPr>
        <w:pageBreakBefore w:val="0"/>
        <w:tabs>
          <w:tab w:val="left" w:pos="1051"/>
        </w:tabs>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18.2</w:t>
      </w:r>
      <w:r>
        <w:rPr>
          <w:rFonts w:hint="eastAsia" w:ascii="CESI仿宋-GB2312" w:hAnsi="CESI仿宋-GB2312" w:eastAsia="CESI仿宋-GB2312" w:cs="CESI仿宋-GB2312"/>
          <w:sz w:val="28"/>
          <w:szCs w:val="28"/>
        </w:rPr>
        <w:t>响应文件的正本需打印或用不褪色墨水书写，并由法定代表人或经其正式授权的代表签字。授权代表要以书面形式出具证明，其《法定代表人授权书》应附在响应文件中。</w:t>
      </w:r>
    </w:p>
    <w:p>
      <w:pPr>
        <w:pageBreakBefore w:val="0"/>
        <w:tabs>
          <w:tab w:val="left" w:pos="1051"/>
        </w:tabs>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18.3</w:t>
      </w:r>
      <w:r>
        <w:rPr>
          <w:rFonts w:hint="eastAsia" w:ascii="CESI仿宋-GB2312" w:hAnsi="CESI仿宋-GB2312" w:eastAsia="CESI仿宋-GB2312" w:cs="CESI仿宋-GB2312"/>
          <w:sz w:val="28"/>
          <w:szCs w:val="28"/>
        </w:rPr>
        <w:t>响应文件中的任何行间重要的插字、涂改和增删，必须由法定代表人或经正式授权的代表在旁边签字才有效。</w:t>
      </w:r>
    </w:p>
    <w:p>
      <w:pPr>
        <w:keepNext/>
        <w:keepLines/>
        <w:pageBreakBefore w:val="0"/>
        <w:topLinePunct w:val="0"/>
        <w:bidi w:val="0"/>
        <w:spacing w:beforeAutospacing="0" w:line="500" w:lineRule="exact"/>
        <w:ind w:left="0" w:right="0" w:firstLine="562" w:firstLineChars="200"/>
        <w:jc w:val="both"/>
        <w:outlineLvl w:val="2"/>
        <w:rPr>
          <w:rFonts w:hint="eastAsia" w:ascii="CESI仿宋-GB2312" w:hAnsi="CESI仿宋-GB2312" w:eastAsia="CESI仿宋-GB2312" w:cs="CESI仿宋-GB2312"/>
          <w:b/>
          <w:bCs/>
          <w:sz w:val="28"/>
          <w:szCs w:val="28"/>
        </w:rPr>
      </w:pPr>
      <w:bookmarkStart w:id="11" w:name="_Toc14810"/>
      <w:bookmarkStart w:id="12" w:name="_Toc6182"/>
      <w:bookmarkStart w:id="13" w:name="_Toc8546"/>
      <w:bookmarkStart w:id="14" w:name="_Toc23538"/>
      <w:r>
        <w:rPr>
          <w:rFonts w:hint="eastAsia" w:ascii="CESI仿宋-GB2312" w:hAnsi="CESI仿宋-GB2312" w:eastAsia="CESI仿宋-GB2312" w:cs="CESI仿宋-GB2312"/>
          <w:b/>
          <w:bCs/>
          <w:sz w:val="28"/>
          <w:szCs w:val="28"/>
          <w:lang w:eastAsia="zh-CN"/>
        </w:rPr>
        <w:t>（四）</w:t>
      </w:r>
      <w:r>
        <w:rPr>
          <w:rFonts w:hint="eastAsia" w:ascii="CESI仿宋-GB2312" w:hAnsi="CESI仿宋-GB2312" w:eastAsia="CESI仿宋-GB2312" w:cs="CESI仿宋-GB2312"/>
          <w:b/>
          <w:bCs/>
          <w:sz w:val="28"/>
          <w:szCs w:val="28"/>
        </w:rPr>
        <w:t>响应文件的递交</w:t>
      </w:r>
      <w:bookmarkEnd w:id="11"/>
      <w:bookmarkEnd w:id="12"/>
      <w:bookmarkEnd w:id="13"/>
      <w:bookmarkEnd w:id="14"/>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sz w:val="28"/>
          <w:szCs w:val="28"/>
        </w:rPr>
        <w:t>19.响应文件的密封和标记</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19.1</w:t>
      </w:r>
      <w:r>
        <w:rPr>
          <w:rFonts w:hint="eastAsia" w:ascii="CESI仿宋-GB2312" w:hAnsi="CESI仿宋-GB2312" w:eastAsia="CESI仿宋-GB2312" w:cs="CESI仿宋-GB2312"/>
          <w:sz w:val="28"/>
          <w:szCs w:val="28"/>
        </w:rPr>
        <w:t>为方便开标时唱标，请各投标供应商将《首轮报价表》密封并单独递交，以便中标公告附件公示使用。《首轮报价表》信封上标明“首轮报价表”字样。磋商供应商应将响应文件正本和所有副本分开密封装在单独的信封中，并在信封上标明“正本”、“副本”字样。</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19.2</w:t>
      </w:r>
      <w:r>
        <w:rPr>
          <w:rFonts w:hint="eastAsia" w:ascii="CESI仿宋-GB2312" w:hAnsi="CESI仿宋-GB2312" w:eastAsia="CESI仿宋-GB2312" w:cs="CESI仿宋-GB2312"/>
          <w:sz w:val="28"/>
          <w:szCs w:val="28"/>
        </w:rPr>
        <w:t>信封应注明采购项目名称、投标邀请的标题、编号和有“</w:t>
      </w:r>
      <w:r>
        <w:rPr>
          <w:rFonts w:hint="eastAsia" w:ascii="CESI仿宋-GB2312" w:hAnsi="CESI仿宋-GB2312" w:eastAsia="CESI仿宋-GB2312" w:cs="CESI仿宋-GB2312"/>
          <w:b/>
          <w:bCs/>
          <w:sz w:val="28"/>
          <w:szCs w:val="28"/>
        </w:rPr>
        <w:t>于</w:t>
      </w:r>
      <w:r>
        <w:rPr>
          <w:rFonts w:hint="eastAsia" w:ascii="CESI仿宋-GB2312" w:hAnsi="CESI仿宋-GB2312" w:eastAsia="CESI仿宋-GB2312" w:cs="CESI仿宋-GB2312"/>
          <w:b/>
          <w:bCs/>
          <w:sz w:val="28"/>
          <w:szCs w:val="28"/>
          <w:lang w:eastAsia="zh-CN"/>
        </w:rPr>
        <w:t>2024年12月</w:t>
      </w:r>
      <w:r>
        <w:rPr>
          <w:rFonts w:hint="eastAsia" w:ascii="CESI仿宋-GB2312" w:hAnsi="CESI仿宋-GB2312" w:eastAsia="CESI仿宋-GB2312" w:cs="CESI仿宋-GB2312"/>
          <w:b/>
          <w:bCs/>
          <w:sz w:val="28"/>
          <w:szCs w:val="28"/>
          <w:lang w:val="en-US" w:eastAsia="zh-CN"/>
        </w:rPr>
        <w:t>5</w:t>
      </w:r>
      <w:r>
        <w:rPr>
          <w:rFonts w:hint="eastAsia" w:ascii="CESI仿宋-GB2312" w:hAnsi="CESI仿宋-GB2312" w:eastAsia="CESI仿宋-GB2312" w:cs="CESI仿宋-GB2312"/>
          <w:b/>
          <w:bCs/>
          <w:sz w:val="28"/>
          <w:szCs w:val="28"/>
          <w:lang w:eastAsia="zh-CN"/>
        </w:rPr>
        <w:t>日</w:t>
      </w:r>
      <w:r>
        <w:rPr>
          <w:rFonts w:hint="eastAsia" w:ascii="CESI仿宋-GB2312" w:hAnsi="CESI仿宋-GB2312" w:eastAsia="CESI仿宋-GB2312" w:cs="CESI仿宋-GB2312"/>
          <w:b/>
          <w:bCs/>
          <w:sz w:val="28"/>
          <w:szCs w:val="28"/>
          <w:lang w:val="en-US" w:eastAsia="zh-CN"/>
        </w:rPr>
        <w:t>15</w:t>
      </w:r>
      <w:r>
        <w:rPr>
          <w:rFonts w:hint="eastAsia" w:ascii="CESI仿宋-GB2312" w:hAnsi="CESI仿宋-GB2312" w:eastAsia="CESI仿宋-GB2312" w:cs="CESI仿宋-GB2312"/>
          <w:b/>
          <w:bCs/>
          <w:sz w:val="28"/>
          <w:szCs w:val="28"/>
          <w:lang w:eastAsia="zh-CN"/>
        </w:rPr>
        <w:t>时</w:t>
      </w:r>
      <w:r>
        <w:rPr>
          <w:rFonts w:hint="eastAsia" w:ascii="CESI仿宋-GB2312" w:hAnsi="CESI仿宋-GB2312" w:eastAsia="CESI仿宋-GB2312" w:cs="CESI仿宋-GB2312"/>
          <w:b/>
          <w:bCs/>
          <w:sz w:val="28"/>
          <w:szCs w:val="28"/>
          <w:lang w:val="en-US" w:eastAsia="zh-CN"/>
        </w:rPr>
        <w:t>0</w:t>
      </w:r>
      <w:r>
        <w:rPr>
          <w:rFonts w:hint="eastAsia" w:ascii="CESI仿宋-GB2312" w:hAnsi="CESI仿宋-GB2312" w:eastAsia="CESI仿宋-GB2312" w:cs="CESI仿宋-GB2312"/>
          <w:b/>
          <w:bCs/>
          <w:sz w:val="28"/>
          <w:szCs w:val="28"/>
          <w:lang w:eastAsia="zh-CN"/>
        </w:rPr>
        <w:t>0分00秒</w:t>
      </w:r>
      <w:r>
        <w:rPr>
          <w:rFonts w:hint="eastAsia" w:ascii="CESI仿宋-GB2312" w:hAnsi="CESI仿宋-GB2312" w:eastAsia="CESI仿宋-GB2312" w:cs="CESI仿宋-GB2312"/>
          <w:b/>
          <w:bCs/>
          <w:sz w:val="28"/>
          <w:szCs w:val="28"/>
        </w:rPr>
        <w:t>之前不准启封</w:t>
      </w:r>
      <w:r>
        <w:rPr>
          <w:rFonts w:hint="eastAsia" w:ascii="CESI仿宋-GB2312" w:hAnsi="CESI仿宋-GB2312" w:eastAsia="CESI仿宋-GB2312" w:cs="CESI仿宋-GB2312"/>
          <w:b w:val="0"/>
          <w:bCs w:val="0"/>
          <w:sz w:val="28"/>
          <w:szCs w:val="28"/>
        </w:rPr>
        <w:t>”的字样，封口处加</w:t>
      </w:r>
      <w:r>
        <w:rPr>
          <w:rFonts w:hint="eastAsia" w:ascii="CESI仿宋-GB2312" w:hAnsi="CESI仿宋-GB2312" w:eastAsia="CESI仿宋-GB2312" w:cs="CESI仿宋-GB2312"/>
          <w:sz w:val="28"/>
          <w:szCs w:val="28"/>
        </w:rPr>
        <w:t>盖磋商供应商印章。</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19.3</w:t>
      </w:r>
      <w:r>
        <w:rPr>
          <w:rFonts w:hint="eastAsia" w:ascii="CESI仿宋-GB2312" w:hAnsi="CESI仿宋-GB2312" w:eastAsia="CESI仿宋-GB2312" w:cs="CESI仿宋-GB2312"/>
          <w:sz w:val="28"/>
          <w:szCs w:val="28"/>
        </w:rPr>
        <w:t>如果未按要求加写密封和标记，</w:t>
      </w:r>
      <w:r>
        <w:rPr>
          <w:rFonts w:hint="eastAsia" w:ascii="CESI仿宋-GB2312" w:hAnsi="CESI仿宋-GB2312" w:eastAsia="CESI仿宋-GB2312" w:cs="CESI仿宋-GB2312"/>
          <w:sz w:val="28"/>
          <w:szCs w:val="28"/>
          <w:lang w:eastAsia="zh-CN"/>
        </w:rPr>
        <w:t>采购方</w:t>
      </w:r>
      <w:r>
        <w:rPr>
          <w:rFonts w:hint="eastAsia" w:ascii="CESI仿宋-GB2312" w:hAnsi="CESI仿宋-GB2312" w:eastAsia="CESI仿宋-GB2312" w:cs="CESI仿宋-GB2312"/>
          <w:sz w:val="28"/>
          <w:szCs w:val="28"/>
        </w:rPr>
        <w:t>对误投或提前启封概不负责。</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sz w:val="28"/>
          <w:szCs w:val="28"/>
        </w:rPr>
        <w:t>20.投标截止时间</w:t>
      </w:r>
    </w:p>
    <w:p>
      <w:pPr>
        <w:pageBreakBefore w:val="0"/>
        <w:topLinePunct w:val="0"/>
        <w:bidi w:val="0"/>
        <w:spacing w:beforeAutospacing="0" w:line="500" w:lineRule="exact"/>
        <w:ind w:left="0" w:right="0"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磋商供应商应在不迟于投标邀请书中规定的截止日期和时间将响应文件递交至</w:t>
      </w:r>
      <w:r>
        <w:rPr>
          <w:rFonts w:hint="eastAsia" w:ascii="CESI仿宋-GB2312" w:hAnsi="CESI仿宋-GB2312" w:eastAsia="CESI仿宋-GB2312" w:cs="CESI仿宋-GB2312"/>
          <w:sz w:val="28"/>
          <w:szCs w:val="28"/>
          <w:lang w:eastAsia="zh-CN"/>
        </w:rPr>
        <w:t>采购方</w:t>
      </w:r>
      <w:r>
        <w:rPr>
          <w:rFonts w:hint="eastAsia" w:ascii="CESI仿宋-GB2312" w:hAnsi="CESI仿宋-GB2312" w:eastAsia="CESI仿宋-GB2312" w:cs="CESI仿宋-GB2312"/>
          <w:sz w:val="28"/>
          <w:szCs w:val="28"/>
        </w:rPr>
        <w:t>。</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sz w:val="28"/>
          <w:szCs w:val="28"/>
        </w:rPr>
        <w:t>21.迟交的响应文件</w:t>
      </w:r>
    </w:p>
    <w:p>
      <w:pPr>
        <w:pageBreakBefore w:val="0"/>
        <w:topLinePunct w:val="0"/>
        <w:bidi w:val="0"/>
        <w:spacing w:beforeAutospacing="0" w:line="500" w:lineRule="exact"/>
        <w:ind w:left="0" w:right="0"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eastAsia="zh-CN"/>
        </w:rPr>
        <w:t>采购方</w:t>
      </w:r>
      <w:r>
        <w:rPr>
          <w:rFonts w:hint="eastAsia" w:ascii="CESI仿宋-GB2312" w:hAnsi="CESI仿宋-GB2312" w:eastAsia="CESI仿宋-GB2312" w:cs="CESI仿宋-GB2312"/>
          <w:sz w:val="28"/>
          <w:szCs w:val="28"/>
        </w:rPr>
        <w:t>将拒绝并原封退回在规定的截止期后收到任何响应文件。</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sz w:val="28"/>
          <w:szCs w:val="28"/>
        </w:rPr>
        <w:t>22.响应文件的修改和撤回</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22.1</w:t>
      </w:r>
      <w:r>
        <w:rPr>
          <w:rFonts w:hint="eastAsia" w:ascii="CESI仿宋-GB2312" w:hAnsi="CESI仿宋-GB2312" w:eastAsia="CESI仿宋-GB2312" w:cs="CESI仿宋-GB2312"/>
          <w:sz w:val="28"/>
          <w:szCs w:val="28"/>
        </w:rPr>
        <w:t>磋商供应商在递交响应文件后，可以修改其响应文件，但磋商供应商必须在规定的投标截止期前将修改的响应文件递交到</w:t>
      </w:r>
      <w:r>
        <w:rPr>
          <w:rFonts w:hint="eastAsia" w:ascii="CESI仿宋-GB2312" w:hAnsi="CESI仿宋-GB2312" w:eastAsia="CESI仿宋-GB2312" w:cs="CESI仿宋-GB2312"/>
          <w:sz w:val="28"/>
          <w:szCs w:val="28"/>
          <w:lang w:eastAsia="zh-CN"/>
        </w:rPr>
        <w:t>采购方</w:t>
      </w:r>
      <w:r>
        <w:rPr>
          <w:rFonts w:hint="eastAsia" w:ascii="CESI仿宋-GB2312" w:hAnsi="CESI仿宋-GB2312" w:eastAsia="CESI仿宋-GB2312" w:cs="CESI仿宋-GB2312"/>
          <w:sz w:val="28"/>
          <w:szCs w:val="28"/>
        </w:rPr>
        <w:t>。在投标截止期之后，磋商供应商不得对其响应文件做任何修改。</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22.2</w:t>
      </w:r>
      <w:r>
        <w:rPr>
          <w:rFonts w:hint="eastAsia" w:ascii="CESI仿宋-GB2312" w:hAnsi="CESI仿宋-GB2312" w:eastAsia="CESI仿宋-GB2312" w:cs="CESI仿宋-GB2312"/>
          <w:sz w:val="28"/>
          <w:szCs w:val="28"/>
        </w:rPr>
        <w:t>磋商供应商在递交响应文件后，可以撤回其投标，但磋商供应商必须在规定的投标截止期之前以书面形式告知</w:t>
      </w:r>
      <w:r>
        <w:rPr>
          <w:rFonts w:hint="eastAsia" w:ascii="CESI仿宋-GB2312" w:hAnsi="CESI仿宋-GB2312" w:eastAsia="CESI仿宋-GB2312" w:cs="CESI仿宋-GB2312"/>
          <w:sz w:val="28"/>
          <w:szCs w:val="28"/>
          <w:lang w:eastAsia="zh-CN"/>
        </w:rPr>
        <w:t>采购方</w:t>
      </w:r>
      <w:r>
        <w:rPr>
          <w:rFonts w:hint="eastAsia" w:ascii="CESI仿宋-GB2312" w:hAnsi="CESI仿宋-GB2312" w:eastAsia="CESI仿宋-GB2312" w:cs="CESI仿宋-GB2312"/>
          <w:sz w:val="28"/>
          <w:szCs w:val="28"/>
        </w:rPr>
        <w:t>。</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22.3</w:t>
      </w:r>
      <w:r>
        <w:rPr>
          <w:rFonts w:hint="eastAsia" w:ascii="CESI仿宋-GB2312" w:hAnsi="CESI仿宋-GB2312" w:eastAsia="CESI仿宋-GB2312" w:cs="CESI仿宋-GB2312"/>
          <w:sz w:val="28"/>
          <w:szCs w:val="28"/>
        </w:rPr>
        <w:t>从投标截止期至磋商供应商在响应文件中确定的投标有效期期满这段时间内，磋商供应商不得撤回其响应文件。</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22.4</w:t>
      </w:r>
      <w:r>
        <w:rPr>
          <w:rFonts w:hint="eastAsia" w:ascii="CESI仿宋-GB2312" w:hAnsi="CESI仿宋-GB2312" w:eastAsia="CESI仿宋-GB2312" w:cs="CESI仿宋-GB2312"/>
          <w:sz w:val="28"/>
          <w:szCs w:val="28"/>
        </w:rPr>
        <w:t>磋商供应商所提交的响应文件在评标结束后，无论成交与否都不退还。</w:t>
      </w:r>
    </w:p>
    <w:p>
      <w:pPr>
        <w:keepNext/>
        <w:keepLines/>
        <w:pageBreakBefore w:val="0"/>
        <w:topLinePunct w:val="0"/>
        <w:bidi w:val="0"/>
        <w:spacing w:beforeAutospacing="0" w:line="500" w:lineRule="exact"/>
        <w:ind w:left="0" w:right="0" w:firstLine="562" w:firstLineChars="200"/>
        <w:jc w:val="both"/>
        <w:outlineLvl w:val="2"/>
        <w:rPr>
          <w:rFonts w:hint="eastAsia" w:ascii="CESI仿宋-GB2312" w:hAnsi="CESI仿宋-GB2312" w:eastAsia="CESI仿宋-GB2312" w:cs="CESI仿宋-GB2312"/>
          <w:b/>
          <w:bCs/>
          <w:sz w:val="28"/>
          <w:szCs w:val="28"/>
        </w:rPr>
      </w:pPr>
      <w:bookmarkStart w:id="15" w:name="_Toc2968"/>
      <w:bookmarkStart w:id="16" w:name="_Toc15290"/>
      <w:bookmarkStart w:id="17" w:name="_Toc20734"/>
      <w:bookmarkStart w:id="18" w:name="_Toc26402"/>
      <w:r>
        <w:rPr>
          <w:rFonts w:hint="eastAsia" w:ascii="CESI仿宋-GB2312" w:hAnsi="CESI仿宋-GB2312" w:eastAsia="CESI仿宋-GB2312" w:cs="CESI仿宋-GB2312"/>
          <w:b/>
          <w:bCs/>
          <w:sz w:val="28"/>
          <w:szCs w:val="28"/>
          <w:lang w:eastAsia="zh-CN"/>
        </w:rPr>
        <w:t>（五）</w:t>
      </w:r>
      <w:r>
        <w:rPr>
          <w:rFonts w:hint="eastAsia" w:ascii="CESI仿宋-GB2312" w:hAnsi="CESI仿宋-GB2312" w:eastAsia="CESI仿宋-GB2312" w:cs="CESI仿宋-GB2312"/>
          <w:b/>
          <w:bCs/>
          <w:sz w:val="28"/>
          <w:szCs w:val="28"/>
        </w:rPr>
        <w:t>开标与评审</w:t>
      </w:r>
      <w:bookmarkEnd w:id="15"/>
      <w:bookmarkEnd w:id="16"/>
      <w:bookmarkEnd w:id="17"/>
      <w:bookmarkEnd w:id="18"/>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sz w:val="28"/>
          <w:szCs w:val="28"/>
        </w:rPr>
        <w:t>23.开标</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23.1</w:t>
      </w:r>
      <w:r>
        <w:rPr>
          <w:rFonts w:hint="eastAsia" w:ascii="CESI仿宋-GB2312" w:hAnsi="CESI仿宋-GB2312" w:eastAsia="CESI仿宋-GB2312" w:cs="CESI仿宋-GB2312"/>
          <w:sz w:val="28"/>
          <w:szCs w:val="28"/>
          <w:lang w:eastAsia="zh-CN"/>
        </w:rPr>
        <w:t>采购方</w:t>
      </w:r>
      <w:r>
        <w:rPr>
          <w:rFonts w:hint="eastAsia" w:ascii="CESI仿宋-GB2312" w:hAnsi="CESI仿宋-GB2312" w:eastAsia="CESI仿宋-GB2312" w:cs="CESI仿宋-GB2312"/>
          <w:sz w:val="28"/>
          <w:szCs w:val="28"/>
        </w:rPr>
        <w:t>在《投标邀请书》和公告中约定的日期、时间和地点组织开标。开标时需有采购人和磋商供应商代表参加。参加开标的</w:t>
      </w:r>
      <w:r>
        <w:rPr>
          <w:rFonts w:hint="eastAsia" w:ascii="CESI仿宋-GB2312" w:hAnsi="CESI仿宋-GB2312" w:eastAsia="CESI仿宋-GB2312" w:cs="CESI仿宋-GB2312"/>
          <w:sz w:val="28"/>
          <w:szCs w:val="28"/>
          <w:lang w:eastAsia="zh-CN"/>
        </w:rPr>
        <w:t>供应商</w:t>
      </w:r>
      <w:r>
        <w:rPr>
          <w:rFonts w:hint="eastAsia" w:ascii="CESI仿宋-GB2312" w:hAnsi="CESI仿宋-GB2312" w:eastAsia="CESI仿宋-GB2312" w:cs="CESI仿宋-GB2312"/>
          <w:sz w:val="28"/>
          <w:szCs w:val="28"/>
        </w:rPr>
        <w:t>代表与响应文件中的被授权人必须为同一人，并签到以证明其出席。</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23.2</w:t>
      </w:r>
      <w:r>
        <w:rPr>
          <w:rFonts w:hint="eastAsia" w:ascii="CESI仿宋-GB2312" w:hAnsi="CESI仿宋-GB2312" w:eastAsia="CESI仿宋-GB2312" w:cs="CESI仿宋-GB2312"/>
          <w:sz w:val="28"/>
          <w:szCs w:val="28"/>
        </w:rPr>
        <w:t>开标时，由磋商供应商或其推选的代表检查响应文件的密封情况，经确认无误后由招标工作人员当众拆封，宣读磋商供应商名称、投标价格、价格折扣、竞争性磋商文件允许提供的备选投标方案和响应文件的其他主要内容。</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23.3</w:t>
      </w:r>
      <w:r>
        <w:rPr>
          <w:rFonts w:hint="eastAsia" w:ascii="CESI仿宋-GB2312" w:hAnsi="CESI仿宋-GB2312" w:eastAsia="CESI仿宋-GB2312" w:cs="CESI仿宋-GB2312"/>
          <w:sz w:val="28"/>
          <w:szCs w:val="28"/>
          <w:lang w:eastAsia="zh-CN"/>
        </w:rPr>
        <w:t>采购方</w:t>
      </w:r>
      <w:r>
        <w:rPr>
          <w:rFonts w:hint="eastAsia" w:ascii="CESI仿宋-GB2312" w:hAnsi="CESI仿宋-GB2312" w:eastAsia="CESI仿宋-GB2312" w:cs="CESI仿宋-GB2312"/>
          <w:sz w:val="28"/>
          <w:szCs w:val="28"/>
        </w:rPr>
        <w:t>做好开标记录，开标记录由各磋商供应商签字确认。</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sz w:val="28"/>
          <w:szCs w:val="28"/>
        </w:rPr>
        <w:t>24.竞争性磋商小组的组成和评标方法</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24.1</w:t>
      </w:r>
      <w:r>
        <w:rPr>
          <w:rFonts w:hint="eastAsia" w:ascii="CESI仿宋-GB2312" w:hAnsi="CESI仿宋-GB2312" w:eastAsia="CESI仿宋-GB2312" w:cs="CESI仿宋-GB2312"/>
          <w:sz w:val="28"/>
          <w:szCs w:val="28"/>
        </w:rPr>
        <w:t>评审由</w:t>
      </w:r>
      <w:r>
        <w:rPr>
          <w:rFonts w:hint="eastAsia" w:ascii="CESI仿宋-GB2312" w:hAnsi="CESI仿宋-GB2312" w:eastAsia="CESI仿宋-GB2312" w:cs="CESI仿宋-GB2312"/>
          <w:sz w:val="28"/>
          <w:szCs w:val="28"/>
          <w:lang w:eastAsia="zh-CN"/>
        </w:rPr>
        <w:t>采购方</w:t>
      </w:r>
      <w:r>
        <w:rPr>
          <w:rFonts w:hint="eastAsia" w:ascii="CESI仿宋-GB2312" w:hAnsi="CESI仿宋-GB2312" w:eastAsia="CESI仿宋-GB2312" w:cs="CESI仿宋-GB2312"/>
          <w:sz w:val="28"/>
          <w:szCs w:val="28"/>
        </w:rPr>
        <w:t>依照有关法规组建的竞争性磋商小组负责。竞争性磋商小组成员由采购人代表和评审专家（技术、经济等方面）组成，竞争性磋商小组成员依法从政府采购专家库中随机抽取，选举一名评审组长。</w:t>
      </w:r>
    </w:p>
    <w:p>
      <w:pPr>
        <w:pageBreakBefore w:val="0"/>
        <w:tabs>
          <w:tab w:val="left" w:pos="1040"/>
        </w:tabs>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24.2</w:t>
      </w:r>
      <w:r>
        <w:rPr>
          <w:rFonts w:hint="eastAsia" w:ascii="CESI仿宋-GB2312" w:hAnsi="CESI仿宋-GB2312" w:eastAsia="CESI仿宋-GB2312" w:cs="CESI仿宋-GB2312"/>
          <w:sz w:val="28"/>
          <w:szCs w:val="28"/>
        </w:rPr>
        <w:t>竞争性磋商小组独立履行下列职责：</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24.2.1</w:t>
      </w:r>
      <w:r>
        <w:rPr>
          <w:rFonts w:hint="eastAsia" w:ascii="CESI仿宋-GB2312" w:hAnsi="CESI仿宋-GB2312" w:eastAsia="CESI仿宋-GB2312" w:cs="CESI仿宋-GB2312"/>
          <w:sz w:val="28"/>
          <w:szCs w:val="28"/>
        </w:rPr>
        <w:t>认真阅读、领会竞争性磋商文件规定的各项条款，按照资格性和符合性审查的要求逐项审查响应文件是否符合竞争性磋商文件的要求；</w:t>
      </w:r>
    </w:p>
    <w:p>
      <w:pPr>
        <w:pageBreakBefore w:val="0"/>
        <w:numPr>
          <w:ilvl w:val="0"/>
          <w:numId w:val="0"/>
        </w:numPr>
        <w:topLinePunct w:val="0"/>
        <w:bidi w:val="0"/>
        <w:spacing w:beforeAutospacing="0" w:line="500" w:lineRule="exact"/>
        <w:ind w:right="0" w:rightChars="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24.2.2</w:t>
      </w:r>
      <w:r>
        <w:rPr>
          <w:rFonts w:hint="eastAsia" w:ascii="CESI仿宋-GB2312" w:hAnsi="CESI仿宋-GB2312" w:eastAsia="CESI仿宋-GB2312" w:cs="CESI仿宋-GB2312"/>
          <w:sz w:val="28"/>
          <w:szCs w:val="28"/>
        </w:rPr>
        <w:t>按照评标原则和评审办法逐一对合格</w:t>
      </w:r>
      <w:r>
        <w:rPr>
          <w:rFonts w:hint="eastAsia" w:ascii="CESI仿宋-GB2312" w:hAnsi="CESI仿宋-GB2312" w:eastAsia="CESI仿宋-GB2312" w:cs="CESI仿宋-GB2312"/>
          <w:sz w:val="28"/>
          <w:szCs w:val="28"/>
          <w:lang w:eastAsia="zh-CN"/>
        </w:rPr>
        <w:t>供应商</w:t>
      </w:r>
      <w:r>
        <w:rPr>
          <w:rFonts w:hint="eastAsia" w:ascii="CESI仿宋-GB2312" w:hAnsi="CESI仿宋-GB2312" w:eastAsia="CESI仿宋-GB2312" w:cs="CESI仿宋-GB2312"/>
          <w:sz w:val="28"/>
          <w:szCs w:val="28"/>
        </w:rPr>
        <w:t>的投标做出比较和评价；</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24.2.3</w:t>
      </w:r>
      <w:r>
        <w:rPr>
          <w:rFonts w:hint="eastAsia" w:ascii="CESI仿宋-GB2312" w:hAnsi="CESI仿宋-GB2312" w:eastAsia="CESI仿宋-GB2312" w:cs="CESI仿宋-GB2312"/>
          <w:sz w:val="28"/>
          <w:szCs w:val="28"/>
        </w:rPr>
        <w:t>要求</w:t>
      </w:r>
      <w:r>
        <w:rPr>
          <w:rFonts w:hint="eastAsia" w:ascii="CESI仿宋-GB2312" w:hAnsi="CESI仿宋-GB2312" w:eastAsia="CESI仿宋-GB2312" w:cs="CESI仿宋-GB2312"/>
          <w:sz w:val="28"/>
          <w:szCs w:val="28"/>
          <w:lang w:eastAsia="zh-CN"/>
        </w:rPr>
        <w:t>供应商</w:t>
      </w:r>
      <w:r>
        <w:rPr>
          <w:rFonts w:hint="eastAsia" w:ascii="CESI仿宋-GB2312" w:hAnsi="CESI仿宋-GB2312" w:eastAsia="CESI仿宋-GB2312" w:cs="CESI仿宋-GB2312"/>
          <w:sz w:val="28"/>
          <w:szCs w:val="28"/>
        </w:rPr>
        <w:t>对响应文件有关事项做出解释或者澄清；</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24.2.4</w:t>
      </w:r>
      <w:r>
        <w:rPr>
          <w:rFonts w:hint="eastAsia" w:ascii="CESI仿宋-GB2312" w:hAnsi="CESI仿宋-GB2312" w:eastAsia="CESI仿宋-GB2312" w:cs="CESI仿宋-GB2312"/>
          <w:sz w:val="28"/>
          <w:szCs w:val="28"/>
        </w:rPr>
        <w:t>按评审得分高低确定成交供应商，或向采购人提出授标排序。</w:t>
      </w:r>
    </w:p>
    <w:p>
      <w:pPr>
        <w:pageBreakBefore w:val="0"/>
        <w:tabs>
          <w:tab w:val="left" w:pos="1120"/>
        </w:tabs>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24.3</w:t>
      </w:r>
      <w:r>
        <w:rPr>
          <w:rFonts w:hint="eastAsia" w:ascii="CESI仿宋-GB2312" w:hAnsi="CESI仿宋-GB2312" w:eastAsia="CESI仿宋-GB2312" w:cs="CESI仿宋-GB2312"/>
          <w:sz w:val="28"/>
          <w:szCs w:val="28"/>
        </w:rPr>
        <w:t>竞争性磋商小组对与自己有利害关系的评标项目应当主动提出回避。</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24.4</w:t>
      </w:r>
      <w:r>
        <w:rPr>
          <w:rFonts w:hint="eastAsia" w:ascii="CESI仿宋-GB2312" w:hAnsi="CESI仿宋-GB2312" w:eastAsia="CESI仿宋-GB2312" w:cs="CESI仿宋-GB2312"/>
          <w:sz w:val="28"/>
          <w:szCs w:val="28"/>
        </w:rPr>
        <w:t>竞争性磋商小组将按照竞争性磋商文件确定的评审方法和评审标准进行评审。竞争性磋商小组对响应文件的评审分为资格性审查、符合性审查、商务评议、技术评议和价格评议。</w:t>
      </w:r>
    </w:p>
    <w:p>
      <w:pPr>
        <w:pageBreakBefore w:val="0"/>
        <w:tabs>
          <w:tab w:val="left" w:pos="1120"/>
        </w:tabs>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24.5</w:t>
      </w:r>
      <w:r>
        <w:rPr>
          <w:rFonts w:hint="eastAsia" w:ascii="CESI仿宋-GB2312" w:hAnsi="CESI仿宋-GB2312" w:eastAsia="CESI仿宋-GB2312" w:cs="CESI仿宋-GB2312"/>
          <w:sz w:val="28"/>
          <w:szCs w:val="28"/>
        </w:rPr>
        <w:t>本次评审采用综合评分法，具体见“评审方法、步骤及标准”。</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sz w:val="28"/>
          <w:szCs w:val="28"/>
        </w:rPr>
        <w:t>25.响应文件的初审</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25.1</w:t>
      </w:r>
      <w:r>
        <w:rPr>
          <w:rFonts w:hint="eastAsia" w:ascii="CESI仿宋-GB2312" w:hAnsi="CESI仿宋-GB2312" w:eastAsia="CESI仿宋-GB2312" w:cs="CESI仿宋-GB2312"/>
          <w:sz w:val="28"/>
          <w:szCs w:val="28"/>
        </w:rPr>
        <w:t>竞争性磋商小组将审查响应文件是否完整、总体编排是否有序、文件签署是否合格、磋商供应商是否提交了投标保证金、有无计算上的错误等。</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25.2</w:t>
      </w:r>
      <w:r>
        <w:rPr>
          <w:rFonts w:hint="eastAsia" w:ascii="CESI仿宋-GB2312" w:hAnsi="CESI仿宋-GB2312" w:eastAsia="CESI仿宋-GB2312" w:cs="CESI仿宋-GB2312"/>
          <w:sz w:val="28"/>
          <w:szCs w:val="28"/>
        </w:rPr>
        <w:t>算数错误将按以下方法更正：响应文件的大写金额和小写金额不一致的，以大写金额为准；总价金额与按单价汇总金额不一致的，以单价金额计算结果为准；单价金额小数点有明显错位的，应以总价为准，并修改单价。如果磋商供应商不接受对其错误的更正，其投标将被视为无效投标。</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25.3</w:t>
      </w:r>
      <w:r>
        <w:rPr>
          <w:rFonts w:hint="eastAsia" w:ascii="CESI仿宋-GB2312" w:hAnsi="CESI仿宋-GB2312" w:eastAsia="CESI仿宋-GB2312" w:cs="CESI仿宋-GB2312"/>
          <w:sz w:val="28"/>
          <w:szCs w:val="28"/>
        </w:rPr>
        <w:t>在详细评审之前，竞争性磋商小组要审查每份响应文件是否实质上响应了竞争性磋商文件的要求。实质上响应的响应文件应该是与竞争性磋商文件要求的关键条款、条件和规格相符没有重大偏离的响应文件。对关键条款的偏离将被认定为是实质上的不响应。竞争性磋商小组决定响应文件的响应性只根据响应文件本身的真实无误的内容，而不依据外部的证据。但响应文件有不真实不正确的内容的除外。</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25.4</w:t>
      </w:r>
      <w:r>
        <w:rPr>
          <w:rFonts w:hint="eastAsia" w:ascii="CESI仿宋-GB2312" w:hAnsi="CESI仿宋-GB2312" w:eastAsia="CESI仿宋-GB2312" w:cs="CESI仿宋-GB2312"/>
          <w:sz w:val="28"/>
          <w:szCs w:val="28"/>
        </w:rPr>
        <w:t>磋商供应商有下列情形之一的，其投标将被视为无效投标：实质上没有响应竞争性磋商文件要求的投标将被视为无效投标。磋商供应商不得通过修正或撤销不合要求的偏离从而使其响应文件成为实质上响应的投标。</w:t>
      </w:r>
    </w:p>
    <w:p>
      <w:pPr>
        <w:pageBreakBefore w:val="0"/>
        <w:topLinePunct w:val="0"/>
        <w:bidi w:val="0"/>
        <w:spacing w:beforeAutospacing="0" w:line="500" w:lineRule="exact"/>
        <w:ind w:left="0" w:right="0"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在资格性审查、符合性检查和商务评议时，如发现下列情形之一的，响应文件将被视为无效投标：</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25.4.1</w:t>
      </w:r>
      <w:r>
        <w:rPr>
          <w:rFonts w:hint="eastAsia" w:ascii="CESI仿宋-GB2312" w:hAnsi="CESI仿宋-GB2312" w:eastAsia="CESI仿宋-GB2312" w:cs="CESI仿宋-GB2312"/>
          <w:sz w:val="28"/>
          <w:szCs w:val="28"/>
        </w:rPr>
        <w:t>投标总金额超过本项目采购总预算，采购人不能支付的；</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25.4.2</w:t>
      </w:r>
      <w:r>
        <w:rPr>
          <w:rFonts w:hint="eastAsia" w:ascii="CESI仿宋-GB2312" w:hAnsi="CESI仿宋-GB2312" w:eastAsia="CESI仿宋-GB2312" w:cs="CESI仿宋-GB2312"/>
          <w:sz w:val="28"/>
          <w:szCs w:val="28"/>
        </w:rPr>
        <w:t>资格证明文件未提供或不符合竞争性磋商文件要求的；</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25.4.3</w:t>
      </w:r>
      <w:r>
        <w:rPr>
          <w:rFonts w:hint="eastAsia" w:ascii="CESI仿宋-GB2312" w:hAnsi="CESI仿宋-GB2312" w:eastAsia="CESI仿宋-GB2312" w:cs="CESI仿宋-GB2312"/>
          <w:sz w:val="28"/>
          <w:szCs w:val="28"/>
        </w:rPr>
        <w:t>超出经营范围投标的；</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25.4.4</w:t>
      </w:r>
      <w:r>
        <w:rPr>
          <w:rFonts w:hint="eastAsia" w:ascii="CESI仿宋-GB2312" w:hAnsi="CESI仿宋-GB2312" w:eastAsia="CESI仿宋-GB2312" w:cs="CESI仿宋-GB2312"/>
          <w:sz w:val="28"/>
          <w:szCs w:val="28"/>
        </w:rPr>
        <w:t>响应文件密封、签署、盖章和装订不符合规定的；</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25.4.5</w:t>
      </w:r>
      <w:r>
        <w:rPr>
          <w:rFonts w:hint="eastAsia" w:ascii="CESI仿宋-GB2312" w:hAnsi="CESI仿宋-GB2312" w:eastAsia="CESI仿宋-GB2312" w:cs="CESI仿宋-GB2312"/>
          <w:sz w:val="28"/>
          <w:szCs w:val="28"/>
        </w:rPr>
        <w:t>响应文件无法定代表人签字或签字人无法定代表人有效授权的；</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25.4.6</w:t>
      </w:r>
      <w:r>
        <w:rPr>
          <w:rFonts w:hint="eastAsia" w:ascii="CESI仿宋-GB2312" w:hAnsi="CESI仿宋-GB2312" w:eastAsia="CESI仿宋-GB2312" w:cs="CESI仿宋-GB2312"/>
          <w:sz w:val="28"/>
          <w:szCs w:val="28"/>
        </w:rPr>
        <w:t>投标有效期不足的；</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25.4.7</w:t>
      </w:r>
      <w:r>
        <w:rPr>
          <w:rFonts w:hint="eastAsia" w:ascii="CESI仿宋-GB2312" w:hAnsi="CESI仿宋-GB2312" w:eastAsia="CESI仿宋-GB2312" w:cs="CESI仿宋-GB2312"/>
          <w:sz w:val="28"/>
          <w:szCs w:val="28"/>
        </w:rPr>
        <w:t>有不良经济纠纷记录和违法行为的；</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25.4.8</w:t>
      </w:r>
      <w:r>
        <w:rPr>
          <w:rFonts w:hint="eastAsia" w:ascii="CESI仿宋-GB2312" w:hAnsi="CESI仿宋-GB2312" w:eastAsia="CESI仿宋-GB2312" w:cs="CESI仿宋-GB2312"/>
          <w:sz w:val="28"/>
          <w:szCs w:val="28"/>
        </w:rPr>
        <w:t>服务期不能满足要求的；</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25.4.9</w:t>
      </w:r>
      <w:r>
        <w:rPr>
          <w:rFonts w:hint="eastAsia" w:ascii="CESI仿宋-GB2312" w:hAnsi="CESI仿宋-GB2312" w:eastAsia="CESI仿宋-GB2312" w:cs="CESI仿宋-GB2312"/>
          <w:sz w:val="28"/>
          <w:szCs w:val="28"/>
        </w:rPr>
        <w:t>响应文件法定代表人盖章未签字的；</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25.4.10</w:t>
      </w:r>
      <w:r>
        <w:rPr>
          <w:rFonts w:hint="eastAsia" w:ascii="CESI仿宋-GB2312" w:hAnsi="CESI仿宋-GB2312" w:eastAsia="CESI仿宋-GB2312" w:cs="CESI仿宋-GB2312"/>
          <w:sz w:val="28"/>
          <w:szCs w:val="28"/>
        </w:rPr>
        <w:t>磋商供应商相互串通投标的；</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25.4.11</w:t>
      </w:r>
      <w:r>
        <w:rPr>
          <w:rFonts w:hint="eastAsia" w:ascii="CESI仿宋-GB2312" w:hAnsi="CESI仿宋-GB2312" w:eastAsia="CESI仿宋-GB2312" w:cs="CESI仿宋-GB2312"/>
          <w:sz w:val="28"/>
          <w:szCs w:val="28"/>
        </w:rPr>
        <w:t>磋商供应商提供的响应文件不完整的；</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25.4.12</w:t>
      </w:r>
      <w:r>
        <w:rPr>
          <w:rFonts w:hint="eastAsia" w:ascii="CESI仿宋-GB2312" w:hAnsi="CESI仿宋-GB2312" w:eastAsia="CESI仿宋-GB2312" w:cs="CESI仿宋-GB2312"/>
          <w:sz w:val="28"/>
          <w:szCs w:val="28"/>
        </w:rPr>
        <w:t>符合竞争性磋商文件中规定被视为无效投标其他条款的。</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25.5</w:t>
      </w:r>
      <w:r>
        <w:rPr>
          <w:rFonts w:hint="eastAsia" w:ascii="CESI仿宋-GB2312" w:hAnsi="CESI仿宋-GB2312" w:eastAsia="CESI仿宋-GB2312" w:cs="CESI仿宋-GB2312"/>
          <w:sz w:val="28"/>
          <w:szCs w:val="28"/>
        </w:rPr>
        <w:t>在技术评议时，如发现下列情形之一的，其响应文件将被视为无效投标：</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25.5.1</w:t>
      </w:r>
      <w:r>
        <w:rPr>
          <w:rFonts w:hint="eastAsia" w:ascii="CESI仿宋-GB2312" w:hAnsi="CESI仿宋-GB2312" w:eastAsia="CESI仿宋-GB2312" w:cs="CESI仿宋-GB2312"/>
          <w:sz w:val="28"/>
          <w:szCs w:val="28"/>
        </w:rPr>
        <w:t>响应文件技术规格中的响应与事实不符或虚假投标的；</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25.5.2</w:t>
      </w:r>
      <w:r>
        <w:rPr>
          <w:rFonts w:hint="eastAsia" w:ascii="CESI仿宋-GB2312" w:hAnsi="CESI仿宋-GB2312" w:eastAsia="CESI仿宋-GB2312" w:cs="CESI仿宋-GB2312"/>
          <w:sz w:val="28"/>
          <w:szCs w:val="28"/>
        </w:rPr>
        <w:t>磋商供应商必须提供所投服务内容，如原文复制竞争性磋商文件的技术规格相关部分内容作为其响应文件一部分的；</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25.5.3</w:t>
      </w:r>
      <w:r>
        <w:rPr>
          <w:rFonts w:hint="eastAsia" w:ascii="CESI仿宋-GB2312" w:hAnsi="CESI仿宋-GB2312" w:eastAsia="CESI仿宋-GB2312" w:cs="CESI仿宋-GB2312"/>
          <w:sz w:val="28"/>
          <w:szCs w:val="28"/>
        </w:rPr>
        <w:t>不满足竞争性磋商文件标注的必选符号技术条款要求；</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25.5.4</w:t>
      </w:r>
      <w:r>
        <w:rPr>
          <w:rFonts w:hint="eastAsia" w:ascii="CESI仿宋-GB2312" w:hAnsi="CESI仿宋-GB2312" w:eastAsia="CESI仿宋-GB2312" w:cs="CESI仿宋-GB2312"/>
          <w:sz w:val="28"/>
          <w:szCs w:val="28"/>
        </w:rPr>
        <w:t>有不良经济纠纷记录和违法行为的；</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25.5.5</w:t>
      </w:r>
      <w:r>
        <w:rPr>
          <w:rFonts w:hint="eastAsia" w:ascii="CESI仿宋-GB2312" w:hAnsi="CESI仿宋-GB2312" w:eastAsia="CESI仿宋-GB2312" w:cs="CESI仿宋-GB2312"/>
          <w:sz w:val="28"/>
          <w:szCs w:val="28"/>
        </w:rPr>
        <w:t>符合竞争性磋商文件中其他规定被视为无效投标的技术条款的。</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sz w:val="28"/>
          <w:szCs w:val="28"/>
        </w:rPr>
        <w:t>26.响应文件的澄清</w:t>
      </w:r>
    </w:p>
    <w:p>
      <w:pPr>
        <w:pageBreakBefore w:val="0"/>
        <w:tabs>
          <w:tab w:val="left" w:pos="1123"/>
        </w:tabs>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26.1</w:t>
      </w:r>
      <w:r>
        <w:rPr>
          <w:rFonts w:hint="eastAsia" w:ascii="CESI仿宋-GB2312" w:hAnsi="CESI仿宋-GB2312" w:eastAsia="CESI仿宋-GB2312" w:cs="CESI仿宋-GB2312"/>
          <w:sz w:val="28"/>
          <w:szCs w:val="28"/>
        </w:rPr>
        <w:t>评审期间，竞争性磋商小组有权要求磋商供应商对其响应文件中含义不明确、同类问题表述不一致或者有明显文字和计算错误的内容等作必要的澄清、说明或者补正。磋商供应商必须按照竞争性磋商小组要求的澄清内容和时间做出澄清。除按本竞争性磋商文件须知规定的改正算数错误外，磋商供应商对响应文件的澄清不得超出响应文件的范围或者改变响应文件的实质性内容。有关澄清的答复均应由磋商供应商的法定代表人或授权代表签字的书面形式作出并加盖磋商供应商的印章。</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26.2</w:t>
      </w:r>
      <w:r>
        <w:rPr>
          <w:rFonts w:hint="eastAsia" w:ascii="CESI仿宋-GB2312" w:hAnsi="CESI仿宋-GB2312" w:eastAsia="CESI仿宋-GB2312" w:cs="CESI仿宋-GB2312"/>
          <w:sz w:val="28"/>
          <w:szCs w:val="28"/>
        </w:rPr>
        <w:t>重要澄清的答复应是书面的，并由法人代表或授权代表签署，但不得对投标内容进行实质性修改。此书面文件是响应文件的组成部分。</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sz w:val="28"/>
          <w:szCs w:val="28"/>
        </w:rPr>
        <w:t>27.投标的评价</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27.1</w:t>
      </w:r>
      <w:r>
        <w:rPr>
          <w:rFonts w:hint="eastAsia" w:ascii="CESI仿宋-GB2312" w:hAnsi="CESI仿宋-GB2312" w:eastAsia="CESI仿宋-GB2312" w:cs="CESI仿宋-GB2312"/>
          <w:sz w:val="28"/>
          <w:szCs w:val="28"/>
        </w:rPr>
        <w:t>竞争性磋商小组将按照本竞争性磋商文件须知的规定，只对确定为实质上响应竞争性磋商文件要求的响应文件进行评价和比较。</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27.2</w:t>
      </w:r>
      <w:r>
        <w:rPr>
          <w:rFonts w:hint="eastAsia" w:ascii="CESI仿宋-GB2312" w:hAnsi="CESI仿宋-GB2312" w:eastAsia="CESI仿宋-GB2312" w:cs="CESI仿宋-GB2312"/>
          <w:sz w:val="28"/>
          <w:szCs w:val="28"/>
        </w:rPr>
        <w:t>评审时</w:t>
      </w:r>
      <w:r>
        <w:rPr>
          <w:rFonts w:hint="eastAsia" w:ascii="CESI仿宋-GB2312" w:hAnsi="CESI仿宋-GB2312" w:eastAsia="CESI仿宋-GB2312" w:cs="CESI仿宋-GB2312"/>
          <w:sz w:val="28"/>
          <w:szCs w:val="28"/>
          <w:lang w:eastAsia="zh-CN"/>
        </w:rPr>
        <w:t>供应商</w:t>
      </w:r>
      <w:r>
        <w:rPr>
          <w:rFonts w:hint="eastAsia" w:ascii="CESI仿宋-GB2312" w:hAnsi="CESI仿宋-GB2312" w:eastAsia="CESI仿宋-GB2312" w:cs="CESI仿宋-GB2312"/>
          <w:sz w:val="28"/>
          <w:szCs w:val="28"/>
        </w:rPr>
        <w:t>的投标报价不是唯一的成交因素，还将考虑以下因素：</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27.2.1</w:t>
      </w:r>
      <w:r>
        <w:rPr>
          <w:rFonts w:hint="eastAsia" w:ascii="CESI仿宋-GB2312" w:hAnsi="CESI仿宋-GB2312" w:eastAsia="CESI仿宋-GB2312" w:cs="CESI仿宋-GB2312"/>
          <w:sz w:val="28"/>
          <w:szCs w:val="28"/>
        </w:rPr>
        <w:t>响应文件的制作（是否按照竞争性磋商文件要求制作）；</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b/>
          <w:bCs/>
          <w:sz w:val="28"/>
          <w:szCs w:val="28"/>
          <w:lang w:val="en-US" w:eastAsia="zh-CN"/>
        </w:rPr>
        <w:t>27.2.2</w:t>
      </w:r>
      <w:r>
        <w:rPr>
          <w:rFonts w:hint="eastAsia" w:ascii="CESI仿宋-GB2312" w:hAnsi="CESI仿宋-GB2312" w:eastAsia="CESI仿宋-GB2312" w:cs="CESI仿宋-GB2312"/>
          <w:sz w:val="28"/>
          <w:szCs w:val="28"/>
        </w:rPr>
        <w:t>公司状况（技术人员的资质、资金状况、交纳税金、银行资信度等）；</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27.2.3</w:t>
      </w:r>
      <w:r>
        <w:rPr>
          <w:rFonts w:hint="eastAsia" w:ascii="CESI仿宋-GB2312" w:hAnsi="CESI仿宋-GB2312" w:eastAsia="CESI仿宋-GB2312" w:cs="CESI仿宋-GB2312"/>
          <w:sz w:val="28"/>
          <w:szCs w:val="28"/>
        </w:rPr>
        <w:t>所投服务与竞争性磋商文件要求的符合性；</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27.2.4</w:t>
      </w:r>
      <w:r>
        <w:rPr>
          <w:rFonts w:hint="eastAsia" w:ascii="CESI仿宋-GB2312" w:hAnsi="CESI仿宋-GB2312" w:eastAsia="CESI仿宋-GB2312" w:cs="CESI仿宋-GB2312"/>
          <w:sz w:val="28"/>
          <w:szCs w:val="28"/>
        </w:rPr>
        <w:t>经营信誉、售后服务和质量保证等。</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27.3</w:t>
      </w:r>
      <w:r>
        <w:rPr>
          <w:rFonts w:hint="eastAsia" w:ascii="CESI仿宋-GB2312" w:hAnsi="CESI仿宋-GB2312" w:eastAsia="CESI仿宋-GB2312" w:cs="CESI仿宋-GB2312"/>
          <w:sz w:val="28"/>
          <w:szCs w:val="28"/>
        </w:rPr>
        <w:t>现场监督人员负责复核竞争性磋商小组成员的评审情况，发现评审意见有失公正时，提请该竞争性磋商小组成员修改评审意见，并形成书面意见备查。</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sz w:val="28"/>
          <w:szCs w:val="28"/>
        </w:rPr>
        <w:t>28.授标</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28.1</w:t>
      </w:r>
      <w:r>
        <w:rPr>
          <w:rFonts w:hint="eastAsia" w:ascii="CESI仿宋-GB2312" w:hAnsi="CESI仿宋-GB2312" w:eastAsia="CESI仿宋-GB2312" w:cs="CESI仿宋-GB2312"/>
          <w:sz w:val="28"/>
          <w:szCs w:val="28"/>
        </w:rPr>
        <w:t>竞争性磋商小组按照竞争性磋商文件确定的评标方法、步骤、标准，对响应文件进行评审，提出书面评审报告，按照得分由高到低的顺序推荐成交候选人名单。</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28.2</w:t>
      </w:r>
      <w:r>
        <w:rPr>
          <w:rFonts w:hint="eastAsia" w:ascii="CESI仿宋-GB2312" w:hAnsi="CESI仿宋-GB2312" w:eastAsia="CESI仿宋-GB2312" w:cs="CESI仿宋-GB2312"/>
          <w:sz w:val="28"/>
          <w:szCs w:val="28"/>
        </w:rPr>
        <w:t>采购人按照竞争性磋商小组推荐成交候选人顺序确定成交供应商。</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28.3</w:t>
      </w:r>
      <w:r>
        <w:rPr>
          <w:rFonts w:hint="eastAsia" w:ascii="CESI仿宋-GB2312" w:hAnsi="CESI仿宋-GB2312" w:eastAsia="CESI仿宋-GB2312" w:cs="CESI仿宋-GB2312"/>
          <w:sz w:val="28"/>
          <w:szCs w:val="28"/>
        </w:rPr>
        <w:t>成交供应商因不可抗力或者自身原因不能履行政府采购合同的，采购人可以与排位在成交供应商之后第一位的成交候选供应商签订政府采购合同，以此类推。</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28.4</w:t>
      </w:r>
      <w:r>
        <w:rPr>
          <w:rFonts w:hint="eastAsia" w:ascii="CESI仿宋-GB2312" w:hAnsi="CESI仿宋-GB2312" w:eastAsia="CESI仿宋-GB2312" w:cs="CESI仿宋-GB2312"/>
          <w:sz w:val="28"/>
          <w:szCs w:val="28"/>
        </w:rPr>
        <w:t>成交供应商确定后，</w:t>
      </w:r>
      <w:r>
        <w:rPr>
          <w:rFonts w:hint="eastAsia" w:ascii="CESI仿宋-GB2312" w:hAnsi="CESI仿宋-GB2312" w:eastAsia="CESI仿宋-GB2312" w:cs="CESI仿宋-GB2312"/>
          <w:sz w:val="28"/>
          <w:szCs w:val="28"/>
          <w:lang w:val="en-US" w:eastAsia="zh-CN"/>
        </w:rPr>
        <w:t>采购方</w:t>
      </w:r>
      <w:r>
        <w:rPr>
          <w:rFonts w:hint="eastAsia" w:ascii="CESI仿宋-GB2312" w:hAnsi="CESI仿宋-GB2312" w:eastAsia="CESI仿宋-GB2312" w:cs="CESI仿宋-GB2312"/>
          <w:sz w:val="28"/>
          <w:szCs w:val="28"/>
        </w:rPr>
        <w:t>将在政府采购监督管理部门指定的媒体上发布成交结果公告，公告期满无异议后，向成交供应商和采购人发出《成交通知书》。《成交通知书》是合同的组成部分，对成交供应商和采购人具有同等法律效力。</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28.5</w:t>
      </w:r>
      <w:r>
        <w:rPr>
          <w:rFonts w:hint="eastAsia" w:ascii="CESI仿宋-GB2312" w:hAnsi="CESI仿宋-GB2312" w:eastAsia="CESI仿宋-GB2312" w:cs="CESI仿宋-GB2312"/>
          <w:sz w:val="28"/>
          <w:szCs w:val="28"/>
        </w:rPr>
        <w:t>在评审期间，磋商供应商不得非法干预、影响评审过程。</w:t>
      </w:r>
    </w:p>
    <w:p>
      <w:pPr>
        <w:keepNext/>
        <w:keepLines/>
        <w:pageBreakBefore w:val="0"/>
        <w:topLinePunct w:val="0"/>
        <w:bidi w:val="0"/>
        <w:spacing w:beforeAutospacing="0" w:line="500" w:lineRule="exact"/>
        <w:ind w:left="0" w:right="0" w:firstLine="562" w:firstLineChars="200"/>
        <w:jc w:val="both"/>
        <w:outlineLvl w:val="2"/>
        <w:rPr>
          <w:rFonts w:hint="eastAsia" w:ascii="CESI仿宋-GB2312" w:hAnsi="CESI仿宋-GB2312" w:eastAsia="CESI仿宋-GB2312" w:cs="CESI仿宋-GB2312"/>
          <w:b/>
          <w:bCs/>
          <w:sz w:val="28"/>
          <w:szCs w:val="28"/>
        </w:rPr>
      </w:pPr>
      <w:bookmarkStart w:id="19" w:name="_Toc30391"/>
      <w:bookmarkStart w:id="20" w:name="_Toc2819"/>
      <w:bookmarkStart w:id="21" w:name="_Toc3862"/>
      <w:bookmarkStart w:id="22" w:name="_Toc4540"/>
      <w:r>
        <w:rPr>
          <w:rFonts w:hint="eastAsia" w:ascii="CESI仿宋-GB2312" w:hAnsi="CESI仿宋-GB2312" w:eastAsia="CESI仿宋-GB2312" w:cs="CESI仿宋-GB2312"/>
          <w:b/>
          <w:bCs/>
          <w:sz w:val="28"/>
          <w:szCs w:val="28"/>
          <w:lang w:eastAsia="zh-CN"/>
        </w:rPr>
        <w:t>（六）</w:t>
      </w:r>
      <w:r>
        <w:rPr>
          <w:rFonts w:hint="eastAsia" w:ascii="CESI仿宋-GB2312" w:hAnsi="CESI仿宋-GB2312" w:eastAsia="CESI仿宋-GB2312" w:cs="CESI仿宋-GB2312"/>
          <w:b/>
          <w:bCs/>
          <w:sz w:val="28"/>
          <w:szCs w:val="28"/>
        </w:rPr>
        <w:t>公告、质疑</w:t>
      </w:r>
      <w:bookmarkEnd w:id="19"/>
      <w:bookmarkEnd w:id="20"/>
      <w:bookmarkEnd w:id="21"/>
      <w:bookmarkEnd w:id="22"/>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29.</w:t>
      </w:r>
      <w:r>
        <w:rPr>
          <w:rFonts w:hint="eastAsia" w:ascii="CESI仿宋-GB2312" w:hAnsi="CESI仿宋-GB2312" w:eastAsia="CESI仿宋-GB2312" w:cs="CESI仿宋-GB2312"/>
          <w:sz w:val="28"/>
          <w:szCs w:val="28"/>
          <w:lang w:eastAsia="zh-CN"/>
        </w:rPr>
        <w:t>采购方</w:t>
      </w:r>
      <w:r>
        <w:rPr>
          <w:rFonts w:hint="eastAsia" w:ascii="CESI仿宋-GB2312" w:hAnsi="CESI仿宋-GB2312" w:eastAsia="CESI仿宋-GB2312" w:cs="CESI仿宋-GB2312"/>
          <w:sz w:val="28"/>
          <w:szCs w:val="28"/>
        </w:rPr>
        <w:t>将在政府采购监督管理部门指定媒体上发布招标公告、更正公告、通知、成交结果公告等政府采购的信息。</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30.</w:t>
      </w:r>
      <w:r>
        <w:rPr>
          <w:rFonts w:hint="eastAsia" w:ascii="CESI仿宋-GB2312" w:hAnsi="CESI仿宋-GB2312" w:eastAsia="CESI仿宋-GB2312" w:cs="CESI仿宋-GB2312"/>
          <w:sz w:val="28"/>
          <w:szCs w:val="28"/>
        </w:rPr>
        <w:t>如果磋商供应商对此次采购活动有疑问，可依据《中华人民共和国政府采购法》等相关规定，向采购人或</w:t>
      </w:r>
      <w:r>
        <w:rPr>
          <w:rFonts w:hint="eastAsia" w:ascii="CESI仿宋-GB2312" w:hAnsi="CESI仿宋-GB2312" w:eastAsia="CESI仿宋-GB2312" w:cs="CESI仿宋-GB2312"/>
          <w:sz w:val="28"/>
          <w:szCs w:val="28"/>
          <w:lang w:eastAsia="zh-CN"/>
        </w:rPr>
        <w:t>采购方</w:t>
      </w:r>
      <w:r>
        <w:rPr>
          <w:rFonts w:hint="eastAsia" w:ascii="CESI仿宋-GB2312" w:hAnsi="CESI仿宋-GB2312" w:eastAsia="CESI仿宋-GB2312" w:cs="CESI仿宋-GB2312"/>
          <w:sz w:val="28"/>
          <w:szCs w:val="28"/>
        </w:rPr>
        <w:t>提出质疑。</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31.</w:t>
      </w:r>
      <w:r>
        <w:rPr>
          <w:rFonts w:hint="eastAsia" w:ascii="CESI仿宋-GB2312" w:hAnsi="CESI仿宋-GB2312" w:eastAsia="CESI仿宋-GB2312" w:cs="CESI仿宋-GB2312"/>
          <w:sz w:val="28"/>
          <w:szCs w:val="28"/>
        </w:rPr>
        <w:t>公告日期内如有质疑，采购人或</w:t>
      </w:r>
      <w:r>
        <w:rPr>
          <w:rFonts w:hint="eastAsia" w:ascii="CESI仿宋-GB2312" w:hAnsi="CESI仿宋-GB2312" w:eastAsia="CESI仿宋-GB2312" w:cs="CESI仿宋-GB2312"/>
          <w:sz w:val="28"/>
          <w:szCs w:val="28"/>
          <w:lang w:eastAsia="zh-CN"/>
        </w:rPr>
        <w:t>采购方</w:t>
      </w:r>
      <w:r>
        <w:rPr>
          <w:rFonts w:hint="eastAsia" w:ascii="CESI仿宋-GB2312" w:hAnsi="CESI仿宋-GB2312" w:eastAsia="CESI仿宋-GB2312" w:cs="CESI仿宋-GB2312"/>
          <w:sz w:val="28"/>
          <w:szCs w:val="28"/>
        </w:rPr>
        <w:t>将依法给予答复，并将结果告知所有当事人。</w:t>
      </w:r>
    </w:p>
    <w:p>
      <w:pPr>
        <w:keepNext/>
        <w:keepLines/>
        <w:pageBreakBefore w:val="0"/>
        <w:topLinePunct w:val="0"/>
        <w:bidi w:val="0"/>
        <w:spacing w:beforeAutospacing="0" w:line="500" w:lineRule="exact"/>
        <w:ind w:left="0" w:right="0" w:firstLine="562" w:firstLineChars="200"/>
        <w:jc w:val="both"/>
        <w:outlineLvl w:val="2"/>
        <w:rPr>
          <w:rFonts w:hint="eastAsia" w:ascii="CESI仿宋-GB2312" w:hAnsi="CESI仿宋-GB2312" w:eastAsia="CESI仿宋-GB2312" w:cs="CESI仿宋-GB2312"/>
          <w:b/>
          <w:bCs/>
          <w:sz w:val="28"/>
          <w:szCs w:val="28"/>
        </w:rPr>
      </w:pPr>
      <w:bookmarkStart w:id="23" w:name="_Toc4952"/>
      <w:bookmarkStart w:id="24" w:name="_Toc15922"/>
      <w:bookmarkStart w:id="25" w:name="_Toc3701"/>
      <w:bookmarkStart w:id="26" w:name="_Toc13211"/>
      <w:r>
        <w:rPr>
          <w:rFonts w:hint="eastAsia" w:ascii="CESI仿宋-GB2312" w:hAnsi="CESI仿宋-GB2312" w:eastAsia="CESI仿宋-GB2312" w:cs="CESI仿宋-GB2312"/>
          <w:b/>
          <w:bCs/>
          <w:sz w:val="28"/>
          <w:szCs w:val="28"/>
          <w:lang w:eastAsia="zh-CN"/>
        </w:rPr>
        <w:t>（七）</w:t>
      </w:r>
      <w:r>
        <w:rPr>
          <w:rFonts w:hint="eastAsia" w:ascii="CESI仿宋-GB2312" w:hAnsi="CESI仿宋-GB2312" w:eastAsia="CESI仿宋-GB2312" w:cs="CESI仿宋-GB2312"/>
          <w:b/>
          <w:bCs/>
          <w:sz w:val="28"/>
          <w:szCs w:val="28"/>
        </w:rPr>
        <w:t>废标条款</w:t>
      </w:r>
      <w:bookmarkEnd w:id="23"/>
      <w:bookmarkEnd w:id="24"/>
      <w:bookmarkEnd w:id="25"/>
      <w:bookmarkEnd w:id="26"/>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32.</w:t>
      </w:r>
      <w:r>
        <w:rPr>
          <w:rFonts w:hint="eastAsia" w:ascii="CESI仿宋-GB2312" w:hAnsi="CESI仿宋-GB2312" w:eastAsia="CESI仿宋-GB2312" w:cs="CESI仿宋-GB2312"/>
          <w:sz w:val="28"/>
          <w:szCs w:val="28"/>
        </w:rPr>
        <w:t>在招标采购中，出现下列情形之一的，应予废标：</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32.1</w:t>
      </w:r>
      <w:r>
        <w:rPr>
          <w:rFonts w:hint="eastAsia" w:ascii="CESI仿宋-GB2312" w:hAnsi="CESI仿宋-GB2312" w:eastAsia="CESI仿宋-GB2312" w:cs="CESI仿宋-GB2312"/>
          <w:sz w:val="28"/>
          <w:szCs w:val="28"/>
        </w:rPr>
        <w:t>符合专业条件的供应商或者对竞争性磋商文件作实质响应的供应商不足三家的（经政府采购监督管理部门同意变更采购方式的除外）；</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32.2</w:t>
      </w:r>
      <w:r>
        <w:rPr>
          <w:rFonts w:hint="eastAsia" w:ascii="CESI仿宋-GB2312" w:hAnsi="CESI仿宋-GB2312" w:eastAsia="CESI仿宋-GB2312" w:cs="CESI仿宋-GB2312"/>
          <w:sz w:val="28"/>
          <w:szCs w:val="28"/>
        </w:rPr>
        <w:t>出现影响采购公正的违法、违规行为的；</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32.3</w:t>
      </w:r>
      <w:r>
        <w:rPr>
          <w:rFonts w:hint="eastAsia" w:ascii="CESI仿宋-GB2312" w:hAnsi="CESI仿宋-GB2312" w:eastAsia="CESI仿宋-GB2312" w:cs="CESI仿宋-GB2312"/>
          <w:sz w:val="28"/>
          <w:szCs w:val="28"/>
        </w:rPr>
        <w:t>磋商供应商的报价均超过了采购预算，采购人不能支付的；</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32.4</w:t>
      </w:r>
      <w:r>
        <w:rPr>
          <w:rFonts w:hint="eastAsia" w:ascii="CESI仿宋-GB2312" w:hAnsi="CESI仿宋-GB2312" w:eastAsia="CESI仿宋-GB2312" w:cs="CESI仿宋-GB2312"/>
          <w:sz w:val="28"/>
          <w:szCs w:val="28"/>
        </w:rPr>
        <w:t>因重大变故，采购任务取消的。</w:t>
      </w:r>
    </w:p>
    <w:p>
      <w:pPr>
        <w:keepNext/>
        <w:keepLines/>
        <w:pageBreakBefore w:val="0"/>
        <w:topLinePunct w:val="0"/>
        <w:bidi w:val="0"/>
        <w:spacing w:beforeAutospacing="0" w:line="500" w:lineRule="exact"/>
        <w:ind w:left="0" w:right="0" w:firstLine="562" w:firstLineChars="200"/>
        <w:jc w:val="both"/>
        <w:outlineLvl w:val="2"/>
        <w:rPr>
          <w:rFonts w:hint="eastAsia" w:ascii="CESI仿宋-GB2312" w:hAnsi="CESI仿宋-GB2312" w:eastAsia="CESI仿宋-GB2312" w:cs="CESI仿宋-GB2312"/>
          <w:b/>
          <w:bCs/>
          <w:sz w:val="28"/>
          <w:szCs w:val="28"/>
        </w:rPr>
      </w:pPr>
      <w:bookmarkStart w:id="27" w:name="_Toc5186"/>
      <w:bookmarkStart w:id="28" w:name="_Toc16914"/>
      <w:bookmarkStart w:id="29" w:name="_Toc5737"/>
      <w:bookmarkStart w:id="30" w:name="_Toc26204"/>
      <w:r>
        <w:rPr>
          <w:rFonts w:hint="eastAsia" w:ascii="CESI仿宋-GB2312" w:hAnsi="CESI仿宋-GB2312" w:eastAsia="CESI仿宋-GB2312" w:cs="CESI仿宋-GB2312"/>
          <w:b/>
          <w:bCs/>
          <w:sz w:val="28"/>
          <w:szCs w:val="28"/>
          <w:lang w:eastAsia="zh-CN"/>
        </w:rPr>
        <w:t>（八）</w:t>
      </w:r>
      <w:r>
        <w:rPr>
          <w:rFonts w:hint="eastAsia" w:ascii="CESI仿宋-GB2312" w:hAnsi="CESI仿宋-GB2312" w:eastAsia="CESI仿宋-GB2312" w:cs="CESI仿宋-GB2312"/>
          <w:b/>
          <w:bCs/>
          <w:sz w:val="28"/>
          <w:szCs w:val="28"/>
        </w:rPr>
        <w:t>授予合同</w:t>
      </w:r>
      <w:bookmarkEnd w:id="27"/>
      <w:bookmarkEnd w:id="28"/>
      <w:bookmarkEnd w:id="29"/>
      <w:bookmarkEnd w:id="30"/>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sz w:val="28"/>
          <w:szCs w:val="28"/>
        </w:rPr>
        <w:t>33.签订合同</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33.1</w:t>
      </w:r>
      <w:r>
        <w:rPr>
          <w:rFonts w:hint="eastAsia" w:ascii="CESI仿宋-GB2312" w:hAnsi="CESI仿宋-GB2312" w:eastAsia="CESI仿宋-GB2312" w:cs="CESI仿宋-GB2312"/>
          <w:sz w:val="28"/>
          <w:szCs w:val="28"/>
        </w:rPr>
        <w:t>成交供应商应在《成交通知书》收到之日起30天内与采购人、</w:t>
      </w:r>
      <w:r>
        <w:rPr>
          <w:rFonts w:hint="eastAsia" w:ascii="CESI仿宋-GB2312" w:hAnsi="CESI仿宋-GB2312" w:eastAsia="CESI仿宋-GB2312" w:cs="CESI仿宋-GB2312"/>
          <w:sz w:val="28"/>
          <w:szCs w:val="28"/>
          <w:lang w:eastAsia="zh-CN"/>
        </w:rPr>
        <w:t>采购方</w:t>
      </w:r>
      <w:r>
        <w:rPr>
          <w:rFonts w:hint="eastAsia" w:ascii="CESI仿宋-GB2312" w:hAnsi="CESI仿宋-GB2312" w:eastAsia="CESI仿宋-GB2312" w:cs="CESI仿宋-GB2312"/>
          <w:sz w:val="28"/>
          <w:szCs w:val="28"/>
        </w:rPr>
        <w:t>协商签订政府采购合同。</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33.2</w:t>
      </w:r>
      <w:r>
        <w:rPr>
          <w:rFonts w:hint="eastAsia" w:ascii="CESI仿宋-GB2312" w:hAnsi="CESI仿宋-GB2312" w:eastAsia="CESI仿宋-GB2312" w:cs="CESI仿宋-GB2312"/>
          <w:sz w:val="28"/>
          <w:szCs w:val="28"/>
        </w:rPr>
        <w:t>采购人应按竞争性磋商文件要求和成交供应商的响应文件承诺订立书面合同，但不得超出竞争性磋商文件和成交供应商响应文件的范围，也不得再行订立背离合同实质性内容的其他协议。</w:t>
      </w:r>
    </w:p>
    <w:p>
      <w:pPr>
        <w:keepNext/>
        <w:keepLines/>
        <w:pageBreakBefore w:val="0"/>
        <w:topLinePunct w:val="0"/>
        <w:bidi w:val="0"/>
        <w:spacing w:beforeAutospacing="0" w:line="500" w:lineRule="exact"/>
        <w:ind w:left="0" w:right="0" w:firstLine="562" w:firstLineChars="200"/>
        <w:jc w:val="both"/>
        <w:outlineLvl w:val="2"/>
        <w:rPr>
          <w:rFonts w:hint="eastAsia" w:ascii="CESI仿宋-GB2312" w:hAnsi="CESI仿宋-GB2312" w:eastAsia="CESI仿宋-GB2312" w:cs="CESI仿宋-GB2312"/>
          <w:b/>
          <w:bCs/>
          <w:sz w:val="28"/>
          <w:szCs w:val="28"/>
        </w:rPr>
      </w:pPr>
      <w:bookmarkStart w:id="31" w:name="_Toc30565"/>
      <w:bookmarkStart w:id="32" w:name="_Toc32142"/>
      <w:bookmarkStart w:id="33" w:name="_Toc19569"/>
      <w:bookmarkStart w:id="34" w:name="_Toc13825"/>
      <w:r>
        <w:rPr>
          <w:rFonts w:hint="eastAsia" w:ascii="CESI仿宋-GB2312" w:hAnsi="CESI仿宋-GB2312" w:eastAsia="CESI仿宋-GB2312" w:cs="CESI仿宋-GB2312"/>
          <w:b/>
          <w:bCs/>
          <w:sz w:val="28"/>
          <w:szCs w:val="28"/>
          <w:lang w:eastAsia="zh-CN"/>
        </w:rPr>
        <w:t>（九）</w:t>
      </w:r>
      <w:r>
        <w:rPr>
          <w:rFonts w:hint="eastAsia" w:ascii="CESI仿宋-GB2312" w:hAnsi="CESI仿宋-GB2312" w:eastAsia="CESI仿宋-GB2312" w:cs="CESI仿宋-GB2312"/>
          <w:b/>
          <w:bCs/>
          <w:sz w:val="28"/>
          <w:szCs w:val="28"/>
        </w:rPr>
        <w:t>评审纪律和注意事项</w:t>
      </w:r>
      <w:bookmarkEnd w:id="31"/>
      <w:bookmarkEnd w:id="32"/>
      <w:bookmarkEnd w:id="33"/>
      <w:bookmarkEnd w:id="34"/>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34.</w:t>
      </w:r>
      <w:r>
        <w:rPr>
          <w:rFonts w:hint="eastAsia" w:ascii="CESI仿宋-GB2312" w:hAnsi="CESI仿宋-GB2312" w:eastAsia="CESI仿宋-GB2312" w:cs="CESI仿宋-GB2312"/>
          <w:sz w:val="28"/>
          <w:szCs w:val="28"/>
        </w:rPr>
        <w:t>评审工作为保密评审，涉及评审工作的所有人员、供应商代表进入评审现场，须关闭一切通讯工具，交监督人员统一保管。</w:t>
      </w:r>
    </w:p>
    <w:p>
      <w:pPr>
        <w:pageBreakBefore w:val="0"/>
        <w:numPr>
          <w:ilvl w:val="0"/>
          <w:numId w:val="0"/>
        </w:numPr>
        <w:tabs>
          <w:tab w:val="left" w:pos="1120"/>
        </w:tabs>
        <w:topLinePunct w:val="0"/>
        <w:bidi w:val="0"/>
        <w:spacing w:beforeAutospacing="0" w:line="500" w:lineRule="exact"/>
        <w:ind w:right="0" w:rightChars="0" w:firstLine="562" w:firstLineChars="200"/>
        <w:rPr>
          <w:rFonts w:hint="eastAsia" w:ascii="CESI仿宋-GB2312" w:hAnsi="CESI仿宋-GB2312" w:eastAsia="CESI仿宋-GB2312" w:cs="CESI仿宋-GB2312"/>
          <w:b/>
          <w:sz w:val="28"/>
          <w:szCs w:val="28"/>
        </w:rPr>
      </w:pPr>
      <w:r>
        <w:rPr>
          <w:rFonts w:hint="eastAsia" w:ascii="CESI仿宋-GB2312" w:hAnsi="CESI仿宋-GB2312" w:eastAsia="CESI仿宋-GB2312" w:cs="CESI仿宋-GB2312"/>
          <w:b/>
          <w:bCs/>
          <w:sz w:val="28"/>
          <w:szCs w:val="28"/>
          <w:lang w:val="en-US" w:eastAsia="zh-CN"/>
        </w:rPr>
        <w:t>35.</w:t>
      </w:r>
      <w:r>
        <w:rPr>
          <w:rFonts w:hint="eastAsia" w:ascii="CESI仿宋-GB2312" w:hAnsi="CESI仿宋-GB2312" w:eastAsia="CESI仿宋-GB2312" w:cs="CESI仿宋-GB2312"/>
          <w:sz w:val="28"/>
          <w:szCs w:val="28"/>
        </w:rPr>
        <w:t>评审工作要按照法定程序进行，不得随意简化和改变应有程序。</w:t>
      </w:r>
    </w:p>
    <w:p>
      <w:pPr>
        <w:pageBreakBefore w:val="0"/>
        <w:numPr>
          <w:ilvl w:val="0"/>
          <w:numId w:val="0"/>
        </w:numPr>
        <w:tabs>
          <w:tab w:val="left" w:pos="984"/>
        </w:tabs>
        <w:topLinePunct w:val="0"/>
        <w:bidi w:val="0"/>
        <w:spacing w:beforeAutospacing="0" w:line="500" w:lineRule="exact"/>
        <w:ind w:right="0" w:rightChars="0" w:firstLine="562" w:firstLineChars="200"/>
        <w:rPr>
          <w:rFonts w:hint="eastAsia" w:ascii="CESI仿宋-GB2312" w:hAnsi="CESI仿宋-GB2312" w:eastAsia="CESI仿宋-GB2312" w:cs="CESI仿宋-GB2312"/>
          <w:b/>
          <w:sz w:val="28"/>
          <w:szCs w:val="28"/>
        </w:rPr>
      </w:pPr>
      <w:r>
        <w:rPr>
          <w:rFonts w:hint="eastAsia" w:ascii="CESI仿宋-GB2312" w:hAnsi="CESI仿宋-GB2312" w:eastAsia="CESI仿宋-GB2312" w:cs="CESI仿宋-GB2312"/>
          <w:b/>
          <w:bCs/>
          <w:sz w:val="28"/>
          <w:szCs w:val="28"/>
          <w:lang w:val="en-US" w:eastAsia="zh-CN"/>
        </w:rPr>
        <w:t>36.</w:t>
      </w:r>
      <w:r>
        <w:rPr>
          <w:rFonts w:hint="eastAsia" w:ascii="CESI仿宋-GB2312" w:hAnsi="CESI仿宋-GB2312" w:eastAsia="CESI仿宋-GB2312" w:cs="CESI仿宋-GB2312"/>
          <w:sz w:val="28"/>
          <w:szCs w:val="28"/>
        </w:rPr>
        <w:t>在评审过程中严格执行《中华人民共和国政府采购法》、《中华人民共和国反不正当竞争法》和《中华人民共和国招标投标法》及国家、自治区关于政府采购的规定。</w:t>
      </w:r>
    </w:p>
    <w:p>
      <w:pPr>
        <w:pageBreakBefore w:val="0"/>
        <w:numPr>
          <w:ilvl w:val="0"/>
          <w:numId w:val="0"/>
        </w:numPr>
        <w:tabs>
          <w:tab w:val="left" w:pos="1133"/>
        </w:tabs>
        <w:topLinePunct w:val="0"/>
        <w:bidi w:val="0"/>
        <w:spacing w:beforeAutospacing="0" w:line="500" w:lineRule="exact"/>
        <w:ind w:right="0" w:rightChars="0" w:firstLine="562" w:firstLineChars="200"/>
        <w:rPr>
          <w:rFonts w:hint="eastAsia" w:ascii="CESI仿宋-GB2312" w:hAnsi="CESI仿宋-GB2312" w:eastAsia="CESI仿宋-GB2312" w:cs="CESI仿宋-GB2312"/>
          <w:b/>
          <w:sz w:val="28"/>
          <w:szCs w:val="28"/>
        </w:rPr>
      </w:pPr>
      <w:r>
        <w:rPr>
          <w:rFonts w:hint="eastAsia" w:ascii="CESI仿宋-GB2312" w:hAnsi="CESI仿宋-GB2312" w:eastAsia="CESI仿宋-GB2312" w:cs="CESI仿宋-GB2312"/>
          <w:b/>
          <w:bCs/>
          <w:sz w:val="28"/>
          <w:szCs w:val="28"/>
          <w:lang w:val="en-US" w:eastAsia="zh-CN"/>
        </w:rPr>
        <w:t>37.</w:t>
      </w:r>
      <w:r>
        <w:rPr>
          <w:rFonts w:hint="eastAsia" w:ascii="CESI仿宋-GB2312" w:hAnsi="CESI仿宋-GB2312" w:eastAsia="CESI仿宋-GB2312" w:cs="CESI仿宋-GB2312"/>
          <w:sz w:val="28"/>
          <w:szCs w:val="28"/>
        </w:rPr>
        <w:t>评委要有高度的责任心，严格遵守《评标专家承诺书》的相关要求，严格按照评标标准和打分细则要求进行认真评议，坚持独立打分，不应有任何倾向性，若有违规行为，取消评委资格。</w:t>
      </w:r>
    </w:p>
    <w:p>
      <w:pPr>
        <w:pageBreakBefore w:val="0"/>
        <w:numPr>
          <w:ilvl w:val="0"/>
          <w:numId w:val="0"/>
        </w:numPr>
        <w:tabs>
          <w:tab w:val="left" w:pos="994"/>
        </w:tabs>
        <w:topLinePunct w:val="0"/>
        <w:bidi w:val="0"/>
        <w:spacing w:beforeAutospacing="0" w:line="500" w:lineRule="exact"/>
        <w:ind w:right="0" w:rightChars="0" w:firstLine="562" w:firstLineChars="200"/>
        <w:rPr>
          <w:rFonts w:hint="eastAsia" w:ascii="CESI仿宋-GB2312" w:hAnsi="CESI仿宋-GB2312" w:eastAsia="CESI仿宋-GB2312" w:cs="CESI仿宋-GB2312"/>
          <w:b/>
          <w:sz w:val="28"/>
          <w:szCs w:val="28"/>
        </w:rPr>
      </w:pPr>
      <w:r>
        <w:rPr>
          <w:rFonts w:hint="eastAsia" w:ascii="CESI仿宋-GB2312" w:hAnsi="CESI仿宋-GB2312" w:eastAsia="CESI仿宋-GB2312" w:cs="CESI仿宋-GB2312"/>
          <w:b/>
          <w:bCs/>
          <w:sz w:val="28"/>
          <w:szCs w:val="28"/>
          <w:lang w:val="en-US" w:eastAsia="zh-CN"/>
        </w:rPr>
        <w:t>38.</w:t>
      </w:r>
      <w:r>
        <w:rPr>
          <w:rFonts w:hint="eastAsia" w:ascii="CESI仿宋-GB2312" w:hAnsi="CESI仿宋-GB2312" w:eastAsia="CESI仿宋-GB2312" w:cs="CESI仿宋-GB2312"/>
          <w:sz w:val="28"/>
          <w:szCs w:val="28"/>
        </w:rPr>
        <w:t>涉及评审工作的所有人员不得以任何形式与供应商进行旨在影响评审结果的私下接触，不得接受供应商的任何信息、暗示、馈赠，不得参加供应商以任何方式组织的宴请、娱乐等活动。有需供应商澄清的问题必须采用集体询标的办法进行。</w:t>
      </w:r>
    </w:p>
    <w:p>
      <w:pPr>
        <w:pageBreakBefore w:val="0"/>
        <w:numPr>
          <w:ilvl w:val="0"/>
          <w:numId w:val="0"/>
        </w:numPr>
        <w:tabs>
          <w:tab w:val="left" w:pos="984"/>
        </w:tabs>
        <w:topLinePunct w:val="0"/>
        <w:bidi w:val="0"/>
        <w:spacing w:beforeAutospacing="0" w:line="500" w:lineRule="exact"/>
        <w:ind w:right="0" w:rightChars="0" w:firstLine="562" w:firstLineChars="200"/>
        <w:rPr>
          <w:rFonts w:hint="eastAsia" w:ascii="CESI仿宋-GB2312" w:hAnsi="CESI仿宋-GB2312" w:eastAsia="CESI仿宋-GB2312" w:cs="CESI仿宋-GB2312"/>
          <w:b/>
          <w:sz w:val="28"/>
          <w:szCs w:val="28"/>
        </w:rPr>
      </w:pPr>
      <w:r>
        <w:rPr>
          <w:rFonts w:hint="eastAsia" w:ascii="CESI仿宋-GB2312" w:hAnsi="CESI仿宋-GB2312" w:eastAsia="CESI仿宋-GB2312" w:cs="CESI仿宋-GB2312"/>
          <w:b/>
          <w:bCs/>
          <w:sz w:val="28"/>
          <w:szCs w:val="28"/>
          <w:lang w:val="en-US" w:eastAsia="zh-CN"/>
        </w:rPr>
        <w:t>39.</w:t>
      </w:r>
      <w:r>
        <w:rPr>
          <w:rFonts w:hint="eastAsia" w:ascii="CESI仿宋-GB2312" w:hAnsi="CESI仿宋-GB2312" w:eastAsia="CESI仿宋-GB2312" w:cs="CESI仿宋-GB2312"/>
          <w:sz w:val="28"/>
          <w:szCs w:val="28"/>
        </w:rPr>
        <w:t>对每个供应商的商业秘密和报价，涉及评审工作的所有人员给予保密，不得泄露给其他供应商。评审开始后，直至授予供应商合同为止，有关审查、澄清、评价和比较投标的资料及授标意向等要严格保密，涉及评审工作的所有人员不得向供应商和其他人员透露。</w:t>
      </w:r>
    </w:p>
    <w:p>
      <w:pPr>
        <w:pageBreakBefore w:val="0"/>
        <w:numPr>
          <w:ilvl w:val="0"/>
          <w:numId w:val="0"/>
        </w:numPr>
        <w:tabs>
          <w:tab w:val="left" w:pos="984"/>
        </w:tabs>
        <w:topLinePunct w:val="0"/>
        <w:bidi w:val="0"/>
        <w:spacing w:beforeAutospacing="0" w:line="500" w:lineRule="exact"/>
        <w:ind w:right="0" w:rightChars="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40.</w:t>
      </w:r>
      <w:r>
        <w:rPr>
          <w:rFonts w:hint="eastAsia" w:ascii="CESI仿宋-GB2312" w:hAnsi="CESI仿宋-GB2312" w:eastAsia="CESI仿宋-GB2312" w:cs="CESI仿宋-GB2312"/>
          <w:sz w:val="28"/>
          <w:szCs w:val="28"/>
        </w:rPr>
        <w:t>供应商不得干扰评审工作，如果有企图对评审施加影响的行为，将会导致投标被拒绝。</w:t>
      </w:r>
    </w:p>
    <w:p>
      <w:pPr>
        <w:pageBreakBefore w:val="0"/>
        <w:numPr>
          <w:ilvl w:val="0"/>
          <w:numId w:val="0"/>
        </w:numPr>
        <w:tabs>
          <w:tab w:val="left" w:pos="984"/>
        </w:tabs>
        <w:topLinePunct w:val="0"/>
        <w:bidi w:val="0"/>
        <w:spacing w:beforeAutospacing="0" w:line="500" w:lineRule="exact"/>
        <w:ind w:right="0" w:rightChars="0" w:firstLine="562"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41.</w:t>
      </w:r>
      <w:r>
        <w:rPr>
          <w:rFonts w:hint="eastAsia" w:ascii="CESI仿宋-GB2312" w:hAnsi="CESI仿宋-GB2312" w:eastAsia="CESI仿宋-GB2312" w:cs="CESI仿宋-GB2312"/>
          <w:sz w:val="28"/>
          <w:szCs w:val="28"/>
        </w:rPr>
        <w:t>评审必须坚持公平公正、实事求是的原则，杜绝不客观的提议，集中精力，采用集体办公方式。</w:t>
      </w:r>
    </w:p>
    <w:p>
      <w:pPr>
        <w:pageBreakBefore w:val="0"/>
        <w:tabs>
          <w:tab w:val="left" w:pos="984"/>
        </w:tabs>
        <w:topLinePunct w:val="0"/>
        <w:bidi w:val="0"/>
        <w:spacing w:beforeAutospacing="0" w:line="500" w:lineRule="exact"/>
        <w:ind w:left="0" w:right="0" w:firstLine="562" w:firstLineChars="200"/>
        <w:rPr>
          <w:rFonts w:hint="eastAsia" w:ascii="CESI仿宋-GB2312" w:hAnsi="CESI仿宋-GB2312" w:eastAsia="CESI仿宋-GB2312" w:cs="CESI仿宋-GB2312"/>
          <w:b/>
          <w:sz w:val="28"/>
          <w:szCs w:val="28"/>
        </w:rPr>
      </w:pPr>
      <w:r>
        <w:rPr>
          <w:rFonts w:hint="eastAsia" w:ascii="CESI仿宋-GB2312" w:hAnsi="CESI仿宋-GB2312" w:eastAsia="CESI仿宋-GB2312" w:cs="CESI仿宋-GB2312"/>
          <w:b/>
          <w:bCs/>
          <w:sz w:val="28"/>
          <w:szCs w:val="28"/>
        </w:rPr>
        <w:t>42.</w:t>
      </w:r>
      <w:r>
        <w:rPr>
          <w:rFonts w:hint="eastAsia" w:ascii="CESI仿宋-GB2312" w:hAnsi="CESI仿宋-GB2312" w:eastAsia="CESI仿宋-GB2312" w:cs="CESI仿宋-GB2312"/>
          <w:sz w:val="28"/>
          <w:szCs w:val="28"/>
        </w:rPr>
        <w:t>涉及评审工作的人员若有违规行为，按照有关程序处理，并取消参加评审有关工作的资格。</w:t>
      </w:r>
    </w:p>
    <w:p>
      <w:pPr>
        <w:keepNext/>
        <w:keepLines/>
        <w:pageBreakBefore w:val="0"/>
        <w:topLinePunct w:val="0"/>
        <w:bidi w:val="0"/>
        <w:spacing w:beforeAutospacing="0" w:line="500" w:lineRule="exact"/>
        <w:ind w:left="0" w:right="0" w:firstLine="562" w:firstLineChars="200"/>
        <w:jc w:val="both"/>
        <w:outlineLvl w:val="2"/>
        <w:rPr>
          <w:rFonts w:hint="eastAsia" w:ascii="CESI仿宋-GB2312" w:hAnsi="CESI仿宋-GB2312" w:eastAsia="CESI仿宋-GB2312" w:cs="CESI仿宋-GB2312"/>
          <w:b/>
          <w:bCs/>
          <w:sz w:val="28"/>
          <w:szCs w:val="28"/>
        </w:rPr>
      </w:pPr>
      <w:bookmarkStart w:id="35" w:name="_Toc16757"/>
      <w:bookmarkStart w:id="36" w:name="_Toc10227"/>
      <w:bookmarkStart w:id="37" w:name="_Toc9837"/>
      <w:bookmarkStart w:id="38" w:name="_Toc527"/>
      <w:r>
        <w:rPr>
          <w:rFonts w:hint="eastAsia" w:ascii="CESI仿宋-GB2312" w:hAnsi="CESI仿宋-GB2312" w:eastAsia="CESI仿宋-GB2312" w:cs="CESI仿宋-GB2312"/>
          <w:b/>
          <w:bCs/>
          <w:sz w:val="28"/>
          <w:szCs w:val="28"/>
          <w:lang w:eastAsia="zh-CN"/>
        </w:rPr>
        <w:t>（十）</w:t>
      </w:r>
      <w:r>
        <w:rPr>
          <w:rFonts w:hint="eastAsia" w:ascii="CESI仿宋-GB2312" w:hAnsi="CESI仿宋-GB2312" w:eastAsia="CESI仿宋-GB2312" w:cs="CESI仿宋-GB2312"/>
          <w:b/>
          <w:bCs/>
          <w:sz w:val="28"/>
          <w:szCs w:val="28"/>
        </w:rPr>
        <w:t>适用法律</w:t>
      </w:r>
      <w:bookmarkEnd w:id="35"/>
      <w:bookmarkEnd w:id="36"/>
      <w:bookmarkEnd w:id="37"/>
      <w:bookmarkEnd w:id="38"/>
    </w:p>
    <w:p>
      <w:pPr>
        <w:pageBreakBefore w:val="0"/>
        <w:topLinePunct w:val="0"/>
        <w:bidi w:val="0"/>
        <w:spacing w:beforeAutospacing="0" w:line="500" w:lineRule="exact"/>
        <w:ind w:left="0" w:right="0"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采购人、</w:t>
      </w:r>
      <w:r>
        <w:rPr>
          <w:rFonts w:hint="eastAsia" w:ascii="CESI仿宋-GB2312" w:hAnsi="CESI仿宋-GB2312" w:eastAsia="CESI仿宋-GB2312" w:cs="CESI仿宋-GB2312"/>
          <w:sz w:val="28"/>
          <w:szCs w:val="28"/>
          <w:lang w:eastAsia="zh-CN"/>
        </w:rPr>
        <w:t>采购方</w:t>
      </w:r>
      <w:r>
        <w:rPr>
          <w:rFonts w:hint="eastAsia" w:ascii="CESI仿宋-GB2312" w:hAnsi="CESI仿宋-GB2312" w:eastAsia="CESI仿宋-GB2312" w:cs="CESI仿宋-GB2312"/>
          <w:sz w:val="28"/>
          <w:szCs w:val="28"/>
        </w:rPr>
        <w:t>及磋商供应商签订的合同应按照中华人民共和国的法律进行解释，一切政府采购活动均适用于《中华人民共和国政府采购法》及相关规定。</w:t>
      </w:r>
    </w:p>
    <w:p>
      <w:pPr>
        <w:pStyle w:val="7"/>
        <w:pageBreakBefore w:val="0"/>
        <w:topLinePunct w:val="0"/>
        <w:bidi w:val="0"/>
        <w:spacing w:beforeAutospacing="0" w:line="500" w:lineRule="exact"/>
        <w:ind w:left="0" w:right="0" w:firstLine="560" w:firstLineChars="200"/>
        <w:rPr>
          <w:rFonts w:hint="eastAsia" w:ascii="CESI仿宋-GB2312" w:hAnsi="CESI仿宋-GB2312" w:eastAsia="CESI仿宋-GB2312" w:cs="CESI仿宋-GB2312"/>
          <w:sz w:val="28"/>
          <w:szCs w:val="28"/>
        </w:rPr>
      </w:pPr>
    </w:p>
    <w:p>
      <w:pPr>
        <w:pStyle w:val="7"/>
        <w:pageBreakBefore w:val="0"/>
        <w:topLinePunct w:val="0"/>
        <w:bidi w:val="0"/>
        <w:spacing w:beforeAutospacing="0" w:line="500" w:lineRule="exact"/>
        <w:ind w:left="0" w:right="0" w:firstLine="560" w:firstLineChars="200"/>
        <w:rPr>
          <w:rFonts w:hint="eastAsia" w:ascii="CESI仿宋-GB2312" w:hAnsi="CESI仿宋-GB2312" w:eastAsia="CESI仿宋-GB2312" w:cs="CESI仿宋-GB2312"/>
          <w:sz w:val="28"/>
          <w:szCs w:val="28"/>
        </w:rPr>
        <w:sectPr>
          <w:pgSz w:w="11906" w:h="16838"/>
          <w:pgMar w:top="1440" w:right="1800" w:bottom="1440" w:left="1800" w:header="851" w:footer="992" w:gutter="0"/>
          <w:cols w:space="425" w:num="1"/>
          <w:docGrid w:type="lines" w:linePitch="312" w:charSpace="0"/>
        </w:sectPr>
      </w:pPr>
    </w:p>
    <w:p>
      <w:pPr>
        <w:pStyle w:val="12"/>
        <w:pageBreakBefore w:val="0"/>
        <w:topLinePunct w:val="0"/>
        <w:bidi w:val="0"/>
        <w:spacing w:before="0" w:beforeAutospacing="0" w:after="0" w:line="500" w:lineRule="exact"/>
        <w:ind w:left="0" w:right="0" w:firstLine="643" w:firstLineChars="200"/>
        <w:rPr>
          <w:rFonts w:hint="eastAsia" w:ascii="宋体" w:hAnsi="宋体" w:eastAsia="宋体" w:cs="宋体"/>
          <w:sz w:val="32"/>
          <w:szCs w:val="32"/>
        </w:rPr>
      </w:pPr>
      <w:bookmarkStart w:id="39" w:name="_Toc414628832"/>
      <w:bookmarkStart w:id="40" w:name="_Toc27078"/>
      <w:bookmarkStart w:id="41" w:name="_Toc16267"/>
      <w:bookmarkStart w:id="42" w:name="_Toc5483"/>
      <w:r>
        <w:rPr>
          <w:rFonts w:hint="eastAsia" w:ascii="宋体" w:hAnsi="宋体" w:eastAsia="宋体" w:cs="宋体"/>
          <w:sz w:val="32"/>
          <w:szCs w:val="32"/>
        </w:rPr>
        <w:t>第三章</w:t>
      </w:r>
      <w:bookmarkEnd w:id="39"/>
      <w:bookmarkStart w:id="43" w:name="_Toc454211665"/>
      <w:bookmarkStart w:id="44" w:name="_Toc414628833"/>
      <w:bookmarkStart w:id="45" w:name="_Toc253045127"/>
      <w:r>
        <w:rPr>
          <w:rFonts w:hint="eastAsia" w:ascii="宋体" w:hAnsi="宋体" w:eastAsia="宋体" w:cs="宋体"/>
          <w:sz w:val="32"/>
          <w:szCs w:val="32"/>
        </w:rPr>
        <w:t>采购要求</w:t>
      </w:r>
      <w:bookmarkEnd w:id="40"/>
      <w:bookmarkEnd w:id="41"/>
      <w:bookmarkEnd w:id="42"/>
    </w:p>
    <w:bookmarkEnd w:id="43"/>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b/>
          <w:bCs/>
          <w:sz w:val="28"/>
          <w:szCs w:val="28"/>
          <w:lang w:eastAsia="zh-CN"/>
        </w:rPr>
      </w:pPr>
      <w:bookmarkStart w:id="46" w:name="_Toc30330"/>
      <w:bookmarkStart w:id="47" w:name="_Toc23302"/>
      <w:bookmarkStart w:id="48" w:name="_Toc17581"/>
      <w:r>
        <w:rPr>
          <w:rFonts w:hint="eastAsia" w:ascii="CESI仿宋-GB2312" w:hAnsi="CESI仿宋-GB2312" w:eastAsia="CESI仿宋-GB2312" w:cs="CESI仿宋-GB2312"/>
          <w:b/>
          <w:bCs/>
          <w:sz w:val="28"/>
          <w:szCs w:val="28"/>
          <w:lang w:eastAsia="zh-CN"/>
        </w:rPr>
        <w:t>一、项目概况：</w:t>
      </w:r>
    </w:p>
    <w:p>
      <w:pPr>
        <w:pageBreakBefore w:val="0"/>
        <w:topLinePunct w:val="0"/>
        <w:bidi w:val="0"/>
        <w:spacing w:beforeAutospacing="0" w:line="500" w:lineRule="exact"/>
        <w:ind w:left="0" w:right="0" w:firstLine="560" w:firstLineChars="200"/>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内蒙古自治区作为国家重要的能源基地，成品油零售行业关乎地方经济发展的稳定，维护好成品油市场的诚信经营是市场监管局的重要责任。目前，</w:t>
      </w:r>
      <w:r>
        <w:rPr>
          <w:rFonts w:hint="eastAsia" w:ascii="CESI仿宋-GB2312" w:hAnsi="CESI仿宋-GB2312" w:eastAsia="CESI仿宋-GB2312" w:cs="CESI仿宋-GB2312"/>
          <w:sz w:val="28"/>
          <w:szCs w:val="28"/>
          <w:lang w:eastAsia="zh-CN"/>
        </w:rPr>
        <w:t>市场监管局正在积极推进市场监管现代化，以提升市场综合监管效能。同时为满足统计分析与智能展示，与各级市场监管单位和其他关联单位的数据资源共享需要，以及系统的完整性、安全性、共享性、兼容性、界面美观优化等个性化需要。</w:t>
      </w:r>
    </w:p>
    <w:p>
      <w:pPr>
        <w:pageBreakBefore w:val="0"/>
        <w:topLinePunct w:val="0"/>
        <w:bidi w:val="0"/>
        <w:spacing w:beforeAutospacing="0" w:line="500" w:lineRule="exact"/>
        <w:ind w:left="0" w:right="0" w:firstLine="560" w:firstLineChars="200"/>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本次计划采购‌加油站诚信经营监测技术服务，</w:t>
      </w:r>
      <w:r>
        <w:rPr>
          <w:rFonts w:hint="eastAsia" w:ascii="CESI仿宋-GB2312" w:hAnsi="CESI仿宋-GB2312" w:eastAsia="CESI仿宋-GB2312" w:cs="CESI仿宋-GB2312"/>
          <w:sz w:val="28"/>
          <w:szCs w:val="28"/>
          <w:lang w:val="en-US" w:eastAsia="zh-CN"/>
        </w:rPr>
        <w:t>包括：加油站防作弊监测服务、加油机营业数据采集服务、数据可视化展示服务</w:t>
      </w:r>
      <w:r>
        <w:rPr>
          <w:rFonts w:hint="eastAsia" w:ascii="CESI仿宋-GB2312" w:hAnsi="CESI仿宋-GB2312" w:eastAsia="CESI仿宋-GB2312" w:cs="CESI仿宋-GB2312"/>
          <w:sz w:val="28"/>
          <w:szCs w:val="28"/>
          <w:lang w:eastAsia="zh-CN"/>
        </w:rPr>
        <w:t>。</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b/>
          <w:bCs/>
          <w:sz w:val="28"/>
          <w:szCs w:val="28"/>
        </w:rPr>
      </w:pPr>
      <w:r>
        <w:rPr>
          <w:rFonts w:hint="eastAsia" w:ascii="CESI仿宋-GB2312" w:hAnsi="CESI仿宋-GB2312" w:eastAsia="CESI仿宋-GB2312" w:cs="CESI仿宋-GB2312"/>
          <w:b/>
          <w:bCs/>
          <w:sz w:val="28"/>
          <w:szCs w:val="28"/>
          <w:lang w:eastAsia="zh-CN"/>
        </w:rPr>
        <w:t>二、</w:t>
      </w:r>
      <w:r>
        <w:rPr>
          <w:rFonts w:hint="eastAsia" w:ascii="CESI仿宋-GB2312" w:hAnsi="CESI仿宋-GB2312" w:eastAsia="CESI仿宋-GB2312" w:cs="CESI仿宋-GB2312"/>
          <w:b/>
          <w:bCs/>
          <w:sz w:val="28"/>
          <w:szCs w:val="28"/>
        </w:rPr>
        <w:t>技术标准与要求：</w:t>
      </w:r>
    </w:p>
    <w:tbl>
      <w:tblPr>
        <w:tblStyle w:val="14"/>
        <w:tblpPr w:leftFromText="180" w:rightFromText="180" w:vertAnchor="text" w:horzAnchor="page" w:tblpXSpec="center" w:tblpY="18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863"/>
        <w:gridCol w:w="1121"/>
        <w:gridCol w:w="1150"/>
        <w:gridCol w:w="804"/>
        <w:gridCol w:w="916"/>
        <w:gridCol w:w="1056"/>
        <w:gridCol w:w="1056"/>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right="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863" w:type="dxa"/>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right="0" w:firstLine="0" w:firstLineChars="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核心要求</w:t>
            </w:r>
          </w:p>
        </w:tc>
        <w:tc>
          <w:tcPr>
            <w:tcW w:w="1121" w:type="dxa"/>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left="0" w:right="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品目</w:t>
            </w:r>
          </w:p>
          <w:p>
            <w:pPr>
              <w:keepNext w:val="0"/>
              <w:keepLines w:val="0"/>
              <w:pageBreakBefore w:val="0"/>
              <w:widowControl w:val="0"/>
              <w:kinsoku/>
              <w:wordWrap/>
              <w:overflowPunct/>
              <w:topLinePunct w:val="0"/>
              <w:autoSpaceDE/>
              <w:autoSpaceDN/>
              <w:bidi w:val="0"/>
              <w:adjustRightInd/>
              <w:snapToGrid/>
              <w:spacing w:beforeAutospacing="0" w:line="400" w:lineRule="exact"/>
              <w:ind w:left="0" w:right="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名称</w:t>
            </w:r>
          </w:p>
        </w:tc>
        <w:tc>
          <w:tcPr>
            <w:tcW w:w="1150" w:type="dxa"/>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left="0" w:right="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标的需求名称</w:t>
            </w:r>
          </w:p>
        </w:tc>
        <w:tc>
          <w:tcPr>
            <w:tcW w:w="804" w:type="dxa"/>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left="0" w:right="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916" w:type="dxa"/>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left="0" w:right="0" w:firstLine="0" w:firstLineChars="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c>
          <w:tcPr>
            <w:tcW w:w="1056" w:type="dxa"/>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left="0" w:right="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分项预算单价</w:t>
            </w:r>
          </w:p>
          <w:p>
            <w:pPr>
              <w:keepNext w:val="0"/>
              <w:keepLines w:val="0"/>
              <w:pageBreakBefore w:val="0"/>
              <w:widowControl w:val="0"/>
              <w:kinsoku/>
              <w:wordWrap/>
              <w:overflowPunct/>
              <w:topLinePunct w:val="0"/>
              <w:autoSpaceDE/>
              <w:autoSpaceDN/>
              <w:bidi w:val="0"/>
              <w:adjustRightInd/>
              <w:snapToGrid/>
              <w:spacing w:beforeAutospacing="0" w:line="400" w:lineRule="exact"/>
              <w:ind w:right="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w:t>
            </w:r>
          </w:p>
        </w:tc>
        <w:tc>
          <w:tcPr>
            <w:tcW w:w="1056" w:type="dxa"/>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left="0" w:right="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分项预算总价</w:t>
            </w:r>
          </w:p>
          <w:p>
            <w:pPr>
              <w:keepNext w:val="0"/>
              <w:keepLines w:val="0"/>
              <w:pageBreakBefore w:val="0"/>
              <w:widowControl w:val="0"/>
              <w:kinsoku/>
              <w:wordWrap/>
              <w:overflowPunct/>
              <w:topLinePunct w:val="0"/>
              <w:autoSpaceDE/>
              <w:autoSpaceDN/>
              <w:bidi w:val="0"/>
              <w:adjustRightInd/>
              <w:snapToGrid/>
              <w:spacing w:beforeAutospacing="0" w:line="400" w:lineRule="exact"/>
              <w:ind w:left="0" w:right="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left="0" w:right="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dxa"/>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right="0" w:firstLine="0" w:firstLineChars="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863" w:type="dxa"/>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right="0" w:firstLine="0" w:firstLineChars="0"/>
              <w:jc w:val="center"/>
              <w:textAlignment w:val="auto"/>
              <w:rPr>
                <w:rFonts w:hint="eastAsia" w:ascii="宋体" w:hAnsi="宋体" w:eastAsia="宋体" w:cs="宋体"/>
                <w:sz w:val="24"/>
                <w:szCs w:val="24"/>
                <w:vertAlign w:val="baseline"/>
                <w:lang w:val="en-US" w:eastAsia="zh-CN"/>
              </w:rPr>
            </w:pPr>
          </w:p>
        </w:tc>
        <w:tc>
          <w:tcPr>
            <w:tcW w:w="1121" w:type="dxa"/>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right="0" w:firstLine="0" w:firstLineChars="0"/>
              <w:jc w:val="center"/>
              <w:textAlignment w:val="auto"/>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信息技术服务</w:t>
            </w:r>
          </w:p>
        </w:tc>
        <w:tc>
          <w:tcPr>
            <w:tcW w:w="1150" w:type="dxa"/>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right="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‌加油站诚信经营在线监测技术服务</w:t>
            </w:r>
          </w:p>
        </w:tc>
        <w:tc>
          <w:tcPr>
            <w:tcW w:w="804" w:type="dxa"/>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right="0" w:firstLine="0" w:firstLineChars="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w:t>
            </w:r>
          </w:p>
        </w:tc>
        <w:tc>
          <w:tcPr>
            <w:tcW w:w="916" w:type="dxa"/>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right="0" w:firstLine="0" w:firstLineChars="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w:t>
            </w:r>
          </w:p>
        </w:tc>
        <w:tc>
          <w:tcPr>
            <w:tcW w:w="1056" w:type="dxa"/>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right="0" w:firstLine="0" w:firstLineChars="0"/>
              <w:jc w:val="center"/>
              <w:textAlignment w:val="auto"/>
              <w:rPr>
                <w:rFonts w:hint="eastAsia" w:ascii="宋体" w:hAnsi="宋体" w:eastAsia="宋体" w:cs="宋体"/>
                <w:sz w:val="24"/>
                <w:szCs w:val="24"/>
                <w:vertAlign w:val="baseline"/>
                <w:lang w:val="en-US" w:eastAsia="zh-CN"/>
              </w:rPr>
            </w:pPr>
          </w:p>
        </w:tc>
        <w:tc>
          <w:tcPr>
            <w:tcW w:w="1056" w:type="dxa"/>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right="0" w:firstLine="0" w:firstLineChars="0"/>
              <w:jc w:val="center"/>
              <w:textAlignment w:val="auto"/>
              <w:rPr>
                <w:rFonts w:hint="eastAsia" w:ascii="宋体" w:hAnsi="宋体" w:eastAsia="宋体" w:cs="宋体"/>
                <w:sz w:val="24"/>
                <w:szCs w:val="24"/>
                <w:vertAlign w:val="baseline"/>
                <w:lang w:val="en-US" w:eastAsia="zh-CN"/>
              </w:rPr>
            </w:pPr>
          </w:p>
        </w:tc>
        <w:tc>
          <w:tcPr>
            <w:tcW w:w="917" w:type="dxa"/>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right="0" w:firstLine="0" w:firstLineChars="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详见附表1-1</w:t>
            </w:r>
          </w:p>
        </w:tc>
      </w:tr>
    </w:tbl>
    <w:p>
      <w:pPr>
        <w:pageBreakBefore w:val="0"/>
        <w:topLinePunct w:val="0"/>
        <w:bidi w:val="0"/>
        <w:spacing w:beforeAutospacing="0" w:line="500" w:lineRule="exact"/>
        <w:ind w:left="0" w:right="0" w:firstLine="560" w:firstLineChars="200"/>
        <w:rPr>
          <w:rFonts w:hint="eastAsia" w:eastAsia="宋体"/>
          <w:sz w:val="28"/>
          <w:szCs w:val="28"/>
          <w:lang w:val="en-US" w:eastAsia="zh-CN"/>
        </w:rPr>
      </w:pPr>
    </w:p>
    <w:p>
      <w:pPr>
        <w:pageBreakBefore w:val="0"/>
        <w:topLinePunct w:val="0"/>
        <w:bidi w:val="0"/>
        <w:spacing w:beforeAutospacing="0" w:line="500" w:lineRule="exact"/>
        <w:ind w:left="0" w:right="0" w:firstLine="560" w:firstLineChars="200"/>
        <w:rPr>
          <w:rFonts w:hint="eastAsia" w:eastAsia="宋体"/>
          <w:sz w:val="28"/>
          <w:szCs w:val="28"/>
          <w:lang w:val="en-US" w:eastAsia="zh-CN"/>
        </w:rPr>
      </w:pPr>
    </w:p>
    <w:p>
      <w:pPr>
        <w:pageBreakBefore w:val="0"/>
        <w:topLinePunct w:val="0"/>
        <w:bidi w:val="0"/>
        <w:spacing w:beforeAutospacing="0" w:line="500" w:lineRule="exact"/>
        <w:ind w:left="0" w:right="0" w:firstLine="560" w:firstLineChars="200"/>
        <w:rPr>
          <w:rFonts w:hint="eastAsia" w:eastAsia="宋体"/>
          <w:sz w:val="28"/>
          <w:szCs w:val="28"/>
          <w:lang w:val="en-US" w:eastAsia="zh-CN"/>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650"/>
        <w:gridCol w:w="1704"/>
        <w:gridCol w:w="2840"/>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522" w:type="dxa"/>
            <w:gridSpan w:val="5"/>
          </w:tcPr>
          <w:p>
            <w:pPr>
              <w:keepNext w:val="0"/>
              <w:keepLines w:val="0"/>
              <w:pageBreakBefore w:val="0"/>
              <w:widowControl w:val="0"/>
              <w:wordWrap/>
              <w:overflowPunct/>
              <w:topLinePunct w:val="0"/>
              <w:bidi w:val="0"/>
              <w:spacing w:beforeAutospacing="0" w:line="500" w:lineRule="exact"/>
              <w:ind w:left="0" w:right="0" w:firstLine="0" w:firstLineChars="0"/>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包1：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gridSpan w:val="3"/>
            <w:vAlign w:val="center"/>
          </w:tcPr>
          <w:p>
            <w:pPr>
              <w:keepNext w:val="0"/>
              <w:keepLines w:val="0"/>
              <w:pageBreakBefore w:val="0"/>
              <w:widowControl w:val="0"/>
              <w:wordWrap/>
              <w:overflowPunct/>
              <w:topLinePunct w:val="0"/>
              <w:bidi w:val="0"/>
              <w:spacing w:beforeAutospacing="0" w:line="400" w:lineRule="exact"/>
              <w:ind w:left="0" w:right="0" w:firstLine="0" w:firstLineChars="0"/>
              <w:jc w:val="center"/>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附表1-1：信息技术服务</w:t>
            </w:r>
          </w:p>
        </w:tc>
        <w:tc>
          <w:tcPr>
            <w:tcW w:w="2840" w:type="dxa"/>
            <w:vAlign w:val="center"/>
          </w:tcPr>
          <w:p>
            <w:pPr>
              <w:keepNext w:val="0"/>
              <w:keepLines w:val="0"/>
              <w:pageBreakBefore w:val="0"/>
              <w:widowControl w:val="0"/>
              <w:wordWrap/>
              <w:overflowPunct/>
              <w:topLinePunct w:val="0"/>
              <w:bidi w:val="0"/>
              <w:spacing w:beforeAutospacing="0" w:line="400" w:lineRule="exact"/>
              <w:ind w:left="0" w:right="0" w:firstLine="0" w:firstLineChars="0"/>
              <w:jc w:val="left"/>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采购标的：‌加油站诚信经营在线监测技术服务</w:t>
            </w:r>
          </w:p>
        </w:tc>
        <w:tc>
          <w:tcPr>
            <w:tcW w:w="2842" w:type="dxa"/>
            <w:vAlign w:val="center"/>
          </w:tcPr>
          <w:p>
            <w:pPr>
              <w:keepNext w:val="0"/>
              <w:keepLines w:val="0"/>
              <w:pageBreakBefore w:val="0"/>
              <w:widowControl w:val="0"/>
              <w:wordWrap/>
              <w:overflowPunct/>
              <w:topLinePunct w:val="0"/>
              <w:bidi w:val="0"/>
              <w:spacing w:beforeAutospacing="0" w:line="400" w:lineRule="exact"/>
              <w:ind w:left="0" w:right="0" w:firstLine="0" w:firstLineChars="0"/>
              <w:jc w:val="center"/>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是否允许进口：否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86" w:type="dxa"/>
            <w:vAlign w:val="center"/>
          </w:tcPr>
          <w:p>
            <w:pPr>
              <w:keepNext w:val="0"/>
              <w:keepLines w:val="0"/>
              <w:pageBreakBefore w:val="0"/>
              <w:widowControl w:val="0"/>
              <w:wordWrap/>
              <w:overflowPunct/>
              <w:topLinePunct w:val="0"/>
              <w:bidi w:val="0"/>
              <w:spacing w:beforeAutospacing="0" w:line="400" w:lineRule="exact"/>
              <w:ind w:left="0" w:right="0" w:firstLine="0" w:firstLineChars="0"/>
              <w:jc w:val="center"/>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参数性质</w:t>
            </w:r>
          </w:p>
        </w:tc>
        <w:tc>
          <w:tcPr>
            <w:tcW w:w="650" w:type="dxa"/>
            <w:vAlign w:val="center"/>
          </w:tcPr>
          <w:p>
            <w:pPr>
              <w:keepNext w:val="0"/>
              <w:keepLines w:val="0"/>
              <w:pageBreakBefore w:val="0"/>
              <w:widowControl w:val="0"/>
              <w:wordWrap/>
              <w:overflowPunct/>
              <w:topLinePunct w:val="0"/>
              <w:bidi w:val="0"/>
              <w:spacing w:beforeAutospacing="0" w:line="400" w:lineRule="exact"/>
              <w:ind w:left="0" w:right="0" w:firstLine="0" w:firstLineChars="0"/>
              <w:jc w:val="center"/>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序号</w:t>
            </w:r>
          </w:p>
        </w:tc>
        <w:tc>
          <w:tcPr>
            <w:tcW w:w="7386" w:type="dxa"/>
            <w:gridSpan w:val="3"/>
            <w:vAlign w:val="center"/>
          </w:tcPr>
          <w:p>
            <w:pPr>
              <w:keepNext w:val="0"/>
              <w:keepLines w:val="0"/>
              <w:pageBreakBefore w:val="0"/>
              <w:widowControl w:val="0"/>
              <w:wordWrap/>
              <w:overflowPunct/>
              <w:topLinePunct w:val="0"/>
              <w:bidi w:val="0"/>
              <w:spacing w:beforeAutospacing="0" w:line="400" w:lineRule="exact"/>
              <w:ind w:left="0" w:right="0" w:firstLine="0" w:firstLineChars="0"/>
              <w:jc w:val="center"/>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具体服务要求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Align w:val="center"/>
          </w:tcPr>
          <w:p>
            <w:pPr>
              <w:keepNext w:val="0"/>
              <w:keepLines w:val="0"/>
              <w:pageBreakBefore w:val="0"/>
              <w:widowControl w:val="0"/>
              <w:wordWrap/>
              <w:overflowPunct/>
              <w:topLinePunct w:val="0"/>
              <w:bidi w:val="0"/>
              <w:spacing w:beforeAutospacing="0" w:line="400" w:lineRule="exact"/>
              <w:ind w:left="0" w:right="0" w:firstLine="0" w:firstLineChars="0"/>
              <w:jc w:val="center"/>
              <w:rPr>
                <w:rFonts w:hint="eastAsia" w:ascii="CESI仿宋-GB2312" w:hAnsi="CESI仿宋-GB2312" w:eastAsia="CESI仿宋-GB2312" w:cs="CESI仿宋-GB2312"/>
                <w:sz w:val="28"/>
                <w:szCs w:val="28"/>
                <w:vertAlign w:val="baseline"/>
                <w:lang w:val="en-US" w:eastAsia="zh-CN"/>
              </w:rPr>
            </w:pPr>
          </w:p>
        </w:tc>
        <w:tc>
          <w:tcPr>
            <w:tcW w:w="650" w:type="dxa"/>
            <w:vAlign w:val="center"/>
          </w:tcPr>
          <w:p>
            <w:pPr>
              <w:keepNext w:val="0"/>
              <w:keepLines w:val="0"/>
              <w:pageBreakBefore w:val="0"/>
              <w:widowControl w:val="0"/>
              <w:wordWrap/>
              <w:overflowPunct/>
              <w:topLinePunct w:val="0"/>
              <w:bidi w:val="0"/>
              <w:spacing w:beforeAutospacing="0" w:line="400" w:lineRule="exact"/>
              <w:ind w:left="0" w:right="0" w:firstLine="0" w:firstLineChars="0"/>
              <w:jc w:val="center"/>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1</w:t>
            </w:r>
          </w:p>
        </w:tc>
        <w:tc>
          <w:tcPr>
            <w:tcW w:w="7386" w:type="dxa"/>
            <w:gridSpan w:val="3"/>
            <w:vAlign w:val="center"/>
          </w:tcPr>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line="400" w:lineRule="exact"/>
              <w:ind w:left="0" w:right="0" w:firstLine="0" w:firstLineChars="0"/>
              <w:jc w:val="both"/>
              <w:textAlignment w:val="baseline"/>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加油站防作弊监测服务</w:t>
            </w:r>
          </w:p>
          <w:p>
            <w:pPr>
              <w:keepNext w:val="0"/>
              <w:keepLines w:val="0"/>
              <w:pageBreakBefore w:val="0"/>
              <w:widowControl w:val="0"/>
              <w:numPr>
                <w:ilvl w:val="0"/>
                <w:numId w:val="0"/>
              </w:numPr>
              <w:wordWrap/>
              <w:overflowPunct/>
              <w:topLinePunct w:val="0"/>
              <w:bidi w:val="0"/>
              <w:spacing w:beforeAutospacing="0" w:line="400" w:lineRule="exact"/>
              <w:ind w:left="0" w:right="0" w:firstLine="0" w:firstLineChars="0"/>
              <w:rPr>
                <w:rFonts w:hint="eastAsia" w:ascii="CESI仿宋-GB2312" w:hAnsi="CESI仿宋-GB2312" w:eastAsia="CESI仿宋-GB2312" w:cs="CESI仿宋-GB2312"/>
                <w:b/>
                <w:bCs/>
                <w:sz w:val="28"/>
                <w:szCs w:val="28"/>
                <w:lang w:val="en-US" w:eastAsia="zh-CN"/>
              </w:rPr>
            </w:pPr>
            <w:r>
              <w:rPr>
                <w:rFonts w:hint="eastAsia" w:ascii="CESI仿宋-GB2312" w:hAnsi="CESI仿宋-GB2312" w:eastAsia="CESI仿宋-GB2312" w:cs="CESI仿宋-GB2312"/>
                <w:b/>
                <w:bCs/>
                <w:sz w:val="28"/>
                <w:szCs w:val="28"/>
                <w:lang w:val="en-US" w:eastAsia="zh-CN"/>
              </w:rPr>
              <w:t>服务内容：</w:t>
            </w:r>
          </w:p>
          <w:p>
            <w:pPr>
              <w:keepNext w:val="0"/>
              <w:keepLines w:val="0"/>
              <w:pageBreakBefore w:val="0"/>
              <w:widowControl w:val="0"/>
              <w:numPr>
                <w:ilvl w:val="0"/>
                <w:numId w:val="0"/>
              </w:numPr>
              <w:wordWrap/>
              <w:overflowPunct/>
              <w:topLinePunct w:val="0"/>
              <w:bidi w:val="0"/>
              <w:spacing w:beforeAutospacing="0" w:line="400" w:lineRule="exact"/>
              <w:ind w:left="0" w:right="0" w:firstLine="0" w:firstLineChars="0"/>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（1）对呼和浩特市辖区内社会加油站开展作弊监测服务，实现计量作弊行为风险监测预警，按周/月/年推送预警信息；</w:t>
            </w:r>
          </w:p>
          <w:p>
            <w:pPr>
              <w:keepNext w:val="0"/>
              <w:keepLines w:val="0"/>
              <w:pageBreakBefore w:val="0"/>
              <w:widowControl w:val="0"/>
              <w:numPr>
                <w:ilvl w:val="0"/>
                <w:numId w:val="0"/>
              </w:numPr>
              <w:wordWrap/>
              <w:overflowPunct/>
              <w:topLinePunct w:val="0"/>
              <w:bidi w:val="0"/>
              <w:spacing w:beforeAutospacing="0" w:line="400" w:lineRule="exact"/>
              <w:ind w:left="0" w:right="0" w:firstLine="0" w:firstLineChars="0"/>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（2）预警信息分级分类弹窗反馈；作弊线索收集推送、处理反馈；运用数据对比，对加油站，进行差异化、精准化、可视化数据呈现。</w:t>
            </w:r>
          </w:p>
          <w:p>
            <w:pPr>
              <w:keepNext w:val="0"/>
              <w:keepLines w:val="0"/>
              <w:pageBreakBefore w:val="0"/>
              <w:widowControl w:val="0"/>
              <w:numPr>
                <w:ilvl w:val="0"/>
                <w:numId w:val="0"/>
              </w:numPr>
              <w:wordWrap/>
              <w:overflowPunct/>
              <w:topLinePunct w:val="0"/>
              <w:bidi w:val="0"/>
              <w:spacing w:beforeAutospacing="0" w:line="400" w:lineRule="exact"/>
              <w:ind w:left="0" w:right="0" w:firstLine="0" w:firstLineChars="0"/>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（3）对作弊数据实现实时记录，关键日志可自动截屏或屏幕录像，并自动下载保存。且所有数据保存期限不少于年。</w:t>
            </w:r>
          </w:p>
          <w:p>
            <w:pPr>
              <w:keepNext w:val="0"/>
              <w:keepLines w:val="0"/>
              <w:pageBreakBefore w:val="0"/>
              <w:widowControl w:val="0"/>
              <w:numPr>
                <w:ilvl w:val="0"/>
                <w:numId w:val="0"/>
              </w:numPr>
              <w:wordWrap/>
              <w:overflowPunct/>
              <w:topLinePunct w:val="0"/>
              <w:bidi w:val="0"/>
              <w:spacing w:beforeAutospacing="0" w:line="400" w:lineRule="exact"/>
              <w:ind w:left="0" w:right="0" w:firstLine="0" w:firstLineChars="0"/>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（4）在线自动采集、固定和储存违法行为电子证据。</w:t>
            </w:r>
          </w:p>
          <w:p>
            <w:pPr>
              <w:pStyle w:val="17"/>
              <w:keepNext w:val="0"/>
              <w:keepLines w:val="0"/>
              <w:pageBreakBefore w:val="0"/>
              <w:widowControl w:val="0"/>
              <w:wordWrap/>
              <w:overflowPunct/>
              <w:topLinePunct w:val="0"/>
              <w:bidi w:val="0"/>
              <w:spacing w:beforeAutospacing="0" w:after="0" w:afterLines="0" w:line="400" w:lineRule="exact"/>
              <w:ind w:left="0" w:leftChars="0" w:right="0" w:firstLine="0" w:firstLineChars="0"/>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b/>
                <w:bCs/>
                <w:sz w:val="28"/>
                <w:szCs w:val="28"/>
                <w:lang w:val="en-US" w:eastAsia="zh-CN"/>
              </w:rPr>
              <w:t>服务期限：</w:t>
            </w:r>
            <w:r>
              <w:rPr>
                <w:rFonts w:hint="eastAsia" w:ascii="CESI仿宋-GB2312" w:hAnsi="CESI仿宋-GB2312" w:eastAsia="CESI仿宋-GB2312" w:cs="CESI仿宋-GB2312"/>
                <w:sz w:val="28"/>
                <w:szCs w:val="28"/>
                <w:lang w:val="en-US" w:eastAsia="zh-CN"/>
              </w:rPr>
              <w:t>服务周期1年。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Align w:val="center"/>
          </w:tcPr>
          <w:p>
            <w:pPr>
              <w:keepNext w:val="0"/>
              <w:keepLines w:val="0"/>
              <w:pageBreakBefore w:val="0"/>
              <w:widowControl w:val="0"/>
              <w:wordWrap/>
              <w:overflowPunct/>
              <w:topLinePunct w:val="0"/>
              <w:bidi w:val="0"/>
              <w:spacing w:beforeAutospacing="0" w:line="400" w:lineRule="exact"/>
              <w:ind w:left="0" w:right="0" w:firstLine="0" w:firstLineChars="0"/>
              <w:jc w:val="center"/>
              <w:rPr>
                <w:rFonts w:hint="eastAsia" w:ascii="CESI仿宋-GB2312" w:hAnsi="CESI仿宋-GB2312" w:eastAsia="CESI仿宋-GB2312" w:cs="CESI仿宋-GB2312"/>
                <w:sz w:val="28"/>
                <w:szCs w:val="28"/>
                <w:vertAlign w:val="baseline"/>
                <w:lang w:val="en-US" w:eastAsia="zh-CN"/>
              </w:rPr>
            </w:pPr>
          </w:p>
        </w:tc>
        <w:tc>
          <w:tcPr>
            <w:tcW w:w="650" w:type="dxa"/>
            <w:vAlign w:val="center"/>
          </w:tcPr>
          <w:p>
            <w:pPr>
              <w:keepNext w:val="0"/>
              <w:keepLines w:val="0"/>
              <w:pageBreakBefore w:val="0"/>
              <w:widowControl w:val="0"/>
              <w:wordWrap/>
              <w:overflowPunct/>
              <w:topLinePunct w:val="0"/>
              <w:bidi w:val="0"/>
              <w:spacing w:beforeAutospacing="0" w:line="400" w:lineRule="exact"/>
              <w:ind w:left="0" w:right="0" w:firstLine="0" w:firstLineChars="0"/>
              <w:jc w:val="center"/>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2</w:t>
            </w:r>
          </w:p>
        </w:tc>
        <w:tc>
          <w:tcPr>
            <w:tcW w:w="7386" w:type="dxa"/>
            <w:gridSpan w:val="3"/>
            <w:vAlign w:val="center"/>
          </w:tcPr>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line="400" w:lineRule="exact"/>
              <w:ind w:left="0" w:right="0" w:firstLine="0" w:firstLineChars="0"/>
              <w:jc w:val="both"/>
              <w:textAlignment w:val="baseline"/>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加油机营业数据采集服务</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line="400" w:lineRule="exact"/>
              <w:ind w:left="0" w:right="0" w:firstLine="0" w:firstLineChars="0"/>
              <w:jc w:val="both"/>
              <w:textAlignment w:val="baseline"/>
              <w:rPr>
                <w:rFonts w:hint="eastAsia" w:ascii="CESI仿宋-GB2312" w:hAnsi="CESI仿宋-GB2312" w:eastAsia="CESI仿宋-GB2312" w:cs="CESI仿宋-GB2312"/>
                <w:b/>
                <w:bCs/>
                <w:sz w:val="28"/>
                <w:szCs w:val="28"/>
                <w:lang w:val="en-US" w:eastAsia="zh-CN"/>
              </w:rPr>
            </w:pPr>
            <w:r>
              <w:rPr>
                <w:rFonts w:hint="eastAsia" w:ascii="CESI仿宋-GB2312" w:hAnsi="CESI仿宋-GB2312" w:eastAsia="CESI仿宋-GB2312" w:cs="CESI仿宋-GB2312"/>
                <w:b/>
                <w:bCs/>
                <w:sz w:val="28"/>
                <w:szCs w:val="28"/>
                <w:lang w:val="en-US" w:eastAsia="zh-CN"/>
              </w:rPr>
              <w:t>服务内容：</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line="400" w:lineRule="exact"/>
              <w:ind w:left="0" w:right="0" w:firstLine="0" w:firstLineChars="0"/>
              <w:jc w:val="both"/>
              <w:textAlignment w:val="baseline"/>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对呼和浩特市辖区内社会加油站开展实时采集，在加油机报税口、编码器采集当笔加油量，并通过系统实时查询加油机当笔加油数据。采集信息应包含（加油枪号、油量、税控口单价、金额、脉冲油量、月累计油量、月累计金额、年累金额）。</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line="400" w:lineRule="exact"/>
              <w:ind w:left="0" w:right="0" w:firstLine="0" w:firstLineChars="0"/>
              <w:jc w:val="both"/>
              <w:textAlignment w:val="baseline"/>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b/>
                <w:bCs/>
                <w:sz w:val="28"/>
                <w:szCs w:val="28"/>
                <w:lang w:val="en-US" w:eastAsia="zh-CN"/>
              </w:rPr>
              <w:t>服务期限：</w:t>
            </w:r>
            <w:r>
              <w:rPr>
                <w:rFonts w:hint="eastAsia" w:ascii="CESI仿宋-GB2312" w:hAnsi="CESI仿宋-GB2312" w:eastAsia="CESI仿宋-GB2312" w:cs="CESI仿宋-GB2312"/>
                <w:b w:val="0"/>
                <w:bCs w:val="0"/>
                <w:sz w:val="28"/>
                <w:szCs w:val="28"/>
                <w:lang w:val="en-US" w:eastAsia="zh-CN"/>
              </w:rPr>
              <w:t>服务周期1年。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Align w:val="center"/>
          </w:tcPr>
          <w:p>
            <w:pPr>
              <w:keepNext w:val="0"/>
              <w:keepLines w:val="0"/>
              <w:pageBreakBefore w:val="0"/>
              <w:widowControl w:val="0"/>
              <w:wordWrap/>
              <w:overflowPunct/>
              <w:topLinePunct w:val="0"/>
              <w:bidi w:val="0"/>
              <w:spacing w:beforeAutospacing="0" w:line="400" w:lineRule="exact"/>
              <w:ind w:left="0" w:right="0" w:firstLine="0" w:firstLineChars="0"/>
              <w:jc w:val="center"/>
              <w:rPr>
                <w:rFonts w:hint="eastAsia" w:ascii="CESI仿宋-GB2312" w:hAnsi="CESI仿宋-GB2312" w:eastAsia="CESI仿宋-GB2312" w:cs="CESI仿宋-GB2312"/>
                <w:sz w:val="28"/>
                <w:szCs w:val="28"/>
                <w:vertAlign w:val="baseline"/>
                <w:lang w:val="en-US" w:eastAsia="zh-CN"/>
              </w:rPr>
            </w:pPr>
          </w:p>
        </w:tc>
        <w:tc>
          <w:tcPr>
            <w:tcW w:w="650" w:type="dxa"/>
            <w:vAlign w:val="center"/>
          </w:tcPr>
          <w:p>
            <w:pPr>
              <w:keepNext w:val="0"/>
              <w:keepLines w:val="0"/>
              <w:pageBreakBefore w:val="0"/>
              <w:widowControl w:val="0"/>
              <w:wordWrap/>
              <w:overflowPunct/>
              <w:topLinePunct w:val="0"/>
              <w:bidi w:val="0"/>
              <w:spacing w:beforeAutospacing="0" w:line="400" w:lineRule="exact"/>
              <w:ind w:left="0" w:right="0" w:firstLine="0" w:firstLineChars="0"/>
              <w:jc w:val="center"/>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3</w:t>
            </w:r>
          </w:p>
        </w:tc>
        <w:tc>
          <w:tcPr>
            <w:tcW w:w="7386" w:type="dxa"/>
            <w:gridSpan w:val="3"/>
            <w:vAlign w:val="center"/>
          </w:tcPr>
          <w:p>
            <w:pPr>
              <w:keepNext w:val="0"/>
              <w:keepLines w:val="0"/>
              <w:pageBreakBefore w:val="0"/>
              <w:widowControl w:val="0"/>
              <w:wordWrap/>
              <w:overflowPunct/>
              <w:topLinePunct w:val="0"/>
              <w:bidi w:val="0"/>
              <w:spacing w:beforeAutospacing="0" w:line="400" w:lineRule="exact"/>
              <w:ind w:left="0" w:right="0" w:firstLine="0" w:firstLineChars="0"/>
              <w:jc w:val="left"/>
              <w:rPr>
                <w:rFonts w:hint="eastAsia" w:ascii="CESI仿宋-GB2312" w:hAnsi="CESI仿宋-GB2312" w:eastAsia="CESI仿宋-GB2312" w:cs="CESI仿宋-GB2312"/>
                <w:b w:val="0"/>
                <w:bCs w:val="0"/>
                <w:sz w:val="28"/>
                <w:szCs w:val="28"/>
                <w:lang w:val="en-US" w:eastAsia="zh-CN"/>
              </w:rPr>
            </w:pPr>
            <w:r>
              <w:rPr>
                <w:rFonts w:hint="eastAsia" w:ascii="CESI仿宋-GB2312" w:hAnsi="CESI仿宋-GB2312" w:eastAsia="CESI仿宋-GB2312" w:cs="CESI仿宋-GB2312"/>
                <w:b w:val="0"/>
                <w:bCs w:val="0"/>
                <w:sz w:val="28"/>
                <w:szCs w:val="28"/>
                <w:lang w:val="en-US" w:eastAsia="zh-CN"/>
              </w:rPr>
              <w:t>数据可视化展示服务</w:t>
            </w:r>
          </w:p>
          <w:p>
            <w:pPr>
              <w:keepNext w:val="0"/>
              <w:keepLines w:val="0"/>
              <w:pageBreakBefore w:val="0"/>
              <w:widowControl w:val="0"/>
              <w:numPr>
                <w:ilvl w:val="0"/>
                <w:numId w:val="0"/>
              </w:numPr>
              <w:wordWrap/>
              <w:overflowPunct/>
              <w:topLinePunct w:val="0"/>
              <w:bidi w:val="0"/>
              <w:spacing w:beforeAutospacing="0" w:line="400" w:lineRule="exact"/>
              <w:ind w:left="0" w:right="0" w:firstLine="0" w:firstLineChars="0"/>
              <w:jc w:val="left"/>
              <w:rPr>
                <w:rFonts w:hint="eastAsia" w:ascii="CESI仿宋-GB2312" w:hAnsi="CESI仿宋-GB2312" w:eastAsia="CESI仿宋-GB2312" w:cs="CESI仿宋-GB2312"/>
                <w:b/>
                <w:bCs/>
                <w:color w:val="000000"/>
                <w:sz w:val="28"/>
                <w:szCs w:val="28"/>
                <w:lang w:val="en-US" w:eastAsia="zh-CN"/>
              </w:rPr>
            </w:pPr>
            <w:r>
              <w:rPr>
                <w:rFonts w:hint="eastAsia" w:ascii="CESI仿宋-GB2312" w:hAnsi="CESI仿宋-GB2312" w:eastAsia="CESI仿宋-GB2312" w:cs="CESI仿宋-GB2312"/>
                <w:b/>
                <w:bCs/>
                <w:sz w:val="28"/>
                <w:szCs w:val="28"/>
                <w:lang w:val="en-US" w:eastAsia="zh-CN"/>
              </w:rPr>
              <w:t>服务内容：</w:t>
            </w:r>
          </w:p>
          <w:p>
            <w:pPr>
              <w:keepNext w:val="0"/>
              <w:keepLines w:val="0"/>
              <w:pageBreakBefore w:val="0"/>
              <w:widowControl w:val="0"/>
              <w:numPr>
                <w:ilvl w:val="0"/>
                <w:numId w:val="0"/>
              </w:numPr>
              <w:wordWrap/>
              <w:overflowPunct/>
              <w:topLinePunct w:val="0"/>
              <w:bidi w:val="0"/>
              <w:spacing w:beforeAutospacing="0" w:line="400" w:lineRule="exact"/>
              <w:ind w:left="0" w:right="0" w:firstLine="0" w:firstLineChars="0"/>
              <w:jc w:val="left"/>
              <w:rPr>
                <w:rFonts w:hint="eastAsia" w:ascii="CESI仿宋-GB2312" w:hAnsi="CESI仿宋-GB2312" w:eastAsia="CESI仿宋-GB2312" w:cs="CESI仿宋-GB2312"/>
                <w:b w:val="0"/>
                <w:bCs w:val="0"/>
                <w:sz w:val="28"/>
                <w:szCs w:val="28"/>
                <w:lang w:val="en-US" w:eastAsia="zh-CN"/>
              </w:rPr>
            </w:pPr>
            <w:r>
              <w:rPr>
                <w:rFonts w:hint="eastAsia" w:ascii="CESI仿宋-GB2312" w:hAnsi="CESI仿宋-GB2312" w:eastAsia="CESI仿宋-GB2312" w:cs="CESI仿宋-GB2312"/>
                <w:b w:val="0"/>
                <w:bCs w:val="0"/>
                <w:sz w:val="28"/>
                <w:szCs w:val="28"/>
                <w:lang w:val="en-US" w:eastAsia="zh-CN"/>
              </w:rPr>
              <w:t>（1）提供监控中心展示页面，包含数据大屏，实时数据。</w:t>
            </w:r>
          </w:p>
          <w:p>
            <w:pPr>
              <w:keepNext w:val="0"/>
              <w:keepLines w:val="0"/>
              <w:pageBreakBefore w:val="0"/>
              <w:widowControl w:val="0"/>
              <w:numPr>
                <w:ilvl w:val="0"/>
                <w:numId w:val="0"/>
              </w:numPr>
              <w:wordWrap/>
              <w:overflowPunct/>
              <w:topLinePunct w:val="0"/>
              <w:bidi w:val="0"/>
              <w:spacing w:beforeAutospacing="0" w:line="400" w:lineRule="exact"/>
              <w:ind w:left="0" w:right="0" w:firstLine="0" w:firstLineChars="0"/>
              <w:jc w:val="left"/>
              <w:rPr>
                <w:rFonts w:hint="eastAsia" w:ascii="CESI仿宋-GB2312" w:hAnsi="CESI仿宋-GB2312" w:eastAsia="CESI仿宋-GB2312" w:cs="CESI仿宋-GB2312"/>
                <w:b w:val="0"/>
                <w:bCs w:val="0"/>
                <w:sz w:val="28"/>
                <w:szCs w:val="28"/>
                <w:lang w:val="en-US" w:eastAsia="zh-CN"/>
              </w:rPr>
            </w:pPr>
            <w:r>
              <w:rPr>
                <w:rFonts w:hint="eastAsia" w:ascii="CESI仿宋-GB2312" w:hAnsi="CESI仿宋-GB2312" w:eastAsia="CESI仿宋-GB2312" w:cs="CESI仿宋-GB2312"/>
                <w:b w:val="0"/>
                <w:bCs w:val="0"/>
                <w:sz w:val="28"/>
                <w:szCs w:val="28"/>
                <w:lang w:val="en-US" w:eastAsia="zh-CN"/>
              </w:rPr>
              <w:t>（2）提供经营数据可视化，实现全市加油站的经营数据比对分析，对加油站的经营数据进行同比、环比等分析。</w:t>
            </w:r>
          </w:p>
          <w:p>
            <w:pPr>
              <w:keepNext w:val="0"/>
              <w:keepLines w:val="0"/>
              <w:pageBreakBefore w:val="0"/>
              <w:widowControl w:val="0"/>
              <w:numPr>
                <w:ilvl w:val="0"/>
                <w:numId w:val="0"/>
              </w:numPr>
              <w:wordWrap/>
              <w:overflowPunct/>
              <w:topLinePunct w:val="0"/>
              <w:bidi w:val="0"/>
              <w:spacing w:beforeAutospacing="0" w:line="400" w:lineRule="exact"/>
              <w:ind w:left="0" w:right="0" w:firstLine="0" w:firstLineChars="0"/>
              <w:jc w:val="left"/>
              <w:rPr>
                <w:rFonts w:hint="eastAsia" w:ascii="CESI仿宋-GB2312" w:hAnsi="CESI仿宋-GB2312" w:eastAsia="CESI仿宋-GB2312" w:cs="CESI仿宋-GB2312"/>
                <w:b w:val="0"/>
                <w:bCs w:val="0"/>
                <w:sz w:val="28"/>
                <w:szCs w:val="28"/>
                <w:lang w:val="en-US" w:eastAsia="zh-CN"/>
              </w:rPr>
            </w:pPr>
            <w:r>
              <w:rPr>
                <w:rFonts w:hint="eastAsia" w:ascii="CESI仿宋-GB2312" w:hAnsi="CESI仿宋-GB2312" w:eastAsia="CESI仿宋-GB2312" w:cs="CESI仿宋-GB2312"/>
                <w:b w:val="0"/>
                <w:bCs w:val="0"/>
                <w:sz w:val="28"/>
                <w:szCs w:val="28"/>
                <w:lang w:val="en-US" w:eastAsia="zh-CN"/>
              </w:rPr>
              <w:t>（3）销售总金额可视化，实现区域内所有加油站的本月销售总金额可视化展示，点击可查看对应到各油站的月度销售金额列表。</w:t>
            </w:r>
          </w:p>
          <w:p>
            <w:pPr>
              <w:keepNext w:val="0"/>
              <w:keepLines w:val="0"/>
              <w:pageBreakBefore w:val="0"/>
              <w:widowControl w:val="0"/>
              <w:numPr>
                <w:ilvl w:val="0"/>
                <w:numId w:val="0"/>
              </w:numPr>
              <w:wordWrap/>
              <w:overflowPunct/>
              <w:topLinePunct w:val="0"/>
              <w:bidi w:val="0"/>
              <w:spacing w:beforeAutospacing="0" w:line="400" w:lineRule="exact"/>
              <w:ind w:left="0" w:right="0" w:firstLine="0" w:firstLineChars="0"/>
              <w:jc w:val="left"/>
              <w:rPr>
                <w:rFonts w:hint="eastAsia" w:ascii="CESI仿宋-GB2312" w:hAnsi="CESI仿宋-GB2312" w:eastAsia="CESI仿宋-GB2312" w:cs="CESI仿宋-GB2312"/>
                <w:b w:val="0"/>
                <w:bCs w:val="0"/>
                <w:sz w:val="28"/>
                <w:szCs w:val="28"/>
                <w:lang w:val="en-US" w:eastAsia="zh-CN"/>
              </w:rPr>
            </w:pPr>
            <w:r>
              <w:rPr>
                <w:rFonts w:hint="eastAsia" w:ascii="CESI仿宋-GB2312" w:hAnsi="CESI仿宋-GB2312" w:eastAsia="CESI仿宋-GB2312" w:cs="CESI仿宋-GB2312"/>
                <w:b w:val="0"/>
                <w:bCs w:val="0"/>
                <w:sz w:val="28"/>
                <w:szCs w:val="28"/>
                <w:lang w:val="en-US" w:eastAsia="zh-CN"/>
              </w:rPr>
              <w:t>（4）加油站销售排行榜可视化，实现油站销售排行榜，显示本区域内各油站的销售额，能够展示加油站的销售情况。</w:t>
            </w:r>
          </w:p>
          <w:p>
            <w:pPr>
              <w:keepNext w:val="0"/>
              <w:keepLines w:val="0"/>
              <w:pageBreakBefore w:val="0"/>
              <w:widowControl w:val="0"/>
              <w:wordWrap/>
              <w:overflowPunct/>
              <w:topLinePunct w:val="0"/>
              <w:bidi w:val="0"/>
              <w:spacing w:beforeAutospacing="0" w:line="400" w:lineRule="exact"/>
              <w:ind w:left="0" w:right="0" w:firstLine="0" w:firstLineChars="0"/>
              <w:jc w:val="left"/>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b/>
                <w:bCs/>
                <w:sz w:val="28"/>
                <w:szCs w:val="28"/>
                <w:lang w:val="en-US" w:eastAsia="zh-CN"/>
              </w:rPr>
              <w:t>服务期限：</w:t>
            </w:r>
            <w:r>
              <w:rPr>
                <w:rFonts w:hint="eastAsia" w:ascii="CESI仿宋-GB2312" w:hAnsi="CESI仿宋-GB2312" w:eastAsia="CESI仿宋-GB2312" w:cs="CESI仿宋-GB2312"/>
                <w:b w:val="0"/>
                <w:bCs w:val="0"/>
                <w:sz w:val="28"/>
                <w:szCs w:val="28"/>
                <w:lang w:val="en-US" w:eastAsia="zh-CN"/>
              </w:rPr>
              <w:t>服务周期1年。</w:t>
            </w:r>
          </w:p>
        </w:tc>
      </w:tr>
    </w:tbl>
    <w:p>
      <w:pPr>
        <w:pageBreakBefore w:val="0"/>
        <w:topLinePunct w:val="0"/>
        <w:bidi w:val="0"/>
        <w:spacing w:beforeAutospacing="0" w:line="500" w:lineRule="exact"/>
        <w:ind w:left="0" w:right="0" w:firstLine="562" w:firstLineChars="200"/>
        <w:jc w:val="center"/>
        <w:outlineLvl w:val="0"/>
        <w:rPr>
          <w:rFonts w:hint="eastAsia" w:ascii="宋体" w:hAnsi="宋体" w:cs="宋体"/>
          <w:b/>
          <w:bCs/>
          <w:sz w:val="32"/>
          <w:szCs w:val="32"/>
        </w:rPr>
      </w:pPr>
      <w:r>
        <w:rPr>
          <w:rFonts w:ascii="宋体" w:hAnsi="宋体" w:cs="宋体"/>
          <w:b/>
          <w:bCs/>
          <w:sz w:val="28"/>
          <w:szCs w:val="28"/>
        </w:rPr>
        <w:br w:type="page"/>
      </w:r>
      <w:r>
        <w:rPr>
          <w:rFonts w:hint="eastAsia" w:ascii="宋体" w:hAnsi="宋体" w:cs="宋体"/>
          <w:b/>
          <w:bCs/>
          <w:sz w:val="32"/>
          <w:szCs w:val="32"/>
        </w:rPr>
        <w:t>第四章供应商资质证明及有关文件要求</w:t>
      </w:r>
      <w:bookmarkEnd w:id="44"/>
      <w:bookmarkEnd w:id="46"/>
      <w:bookmarkEnd w:id="47"/>
      <w:bookmarkEnd w:id="48"/>
      <w:bookmarkStart w:id="49" w:name="_Toc253045129"/>
    </w:p>
    <w:p>
      <w:pPr>
        <w:pageBreakBefore w:val="0"/>
        <w:topLinePunct w:val="0"/>
        <w:bidi w:val="0"/>
        <w:spacing w:beforeAutospacing="0" w:line="500" w:lineRule="exact"/>
        <w:ind w:left="0" w:right="0" w:firstLine="562" w:firstLineChars="200"/>
        <w:jc w:val="center"/>
        <w:outlineLvl w:val="0"/>
        <w:rPr>
          <w:rFonts w:hint="eastAsia" w:ascii="宋体" w:hAnsi="宋体" w:cs="宋体"/>
          <w:b/>
          <w:bCs/>
          <w:sz w:val="28"/>
          <w:szCs w:val="28"/>
        </w:rPr>
      </w:pPr>
    </w:p>
    <w:p>
      <w:pPr>
        <w:pageBreakBefore w:val="0"/>
        <w:topLinePunct w:val="0"/>
        <w:bidi w:val="0"/>
        <w:spacing w:beforeAutospacing="0" w:line="500" w:lineRule="exact"/>
        <w:ind w:left="0" w:right="0" w:firstLine="560" w:firstLineChars="200"/>
        <w:rPr>
          <w:rFonts w:hint="eastAsia" w:ascii="CESI仿宋-GB2312" w:hAnsi="CESI仿宋-GB2312" w:eastAsia="CESI仿宋-GB2312" w:cs="CESI仿宋-GB2312"/>
          <w:sz w:val="28"/>
          <w:szCs w:val="28"/>
        </w:rPr>
      </w:pPr>
      <w:bookmarkStart w:id="50" w:name="_Toc22692"/>
      <w:r>
        <w:rPr>
          <w:rFonts w:hint="eastAsia" w:ascii="CESI仿宋-GB2312" w:hAnsi="CESI仿宋-GB2312" w:eastAsia="CESI仿宋-GB2312" w:cs="CESI仿宋-GB2312"/>
          <w:sz w:val="28"/>
          <w:szCs w:val="28"/>
        </w:rPr>
        <w:t>供应商应提交证明其有资格参加投标和成交后有能力履行合同的文件，并作为其响应文件的一部分。所有文件必须真实可靠、不得伪造，资质证明文件应包括：</w:t>
      </w:r>
    </w:p>
    <w:p>
      <w:pPr>
        <w:pageBreakBefore w:val="0"/>
        <w:topLinePunct w:val="0"/>
        <w:bidi w:val="0"/>
        <w:spacing w:beforeAutospacing="0" w:line="500" w:lineRule="exact"/>
        <w:ind w:left="0" w:right="0" w:firstLine="562" w:firstLineChars="200"/>
        <w:jc w:val="left"/>
        <w:outlineLvl w:val="1"/>
        <w:rPr>
          <w:rFonts w:hint="eastAsia" w:ascii="CESI仿宋-GB2312" w:hAnsi="CESI仿宋-GB2312" w:eastAsia="CESI仿宋-GB2312" w:cs="CESI仿宋-GB2312"/>
          <w:sz w:val="28"/>
          <w:szCs w:val="28"/>
        </w:rPr>
      </w:pPr>
      <w:bookmarkStart w:id="51" w:name="_Toc8777"/>
      <w:bookmarkStart w:id="52" w:name="_Toc29884"/>
      <w:bookmarkStart w:id="53" w:name="_Toc3320"/>
      <w:bookmarkStart w:id="54" w:name="_Toc13513"/>
      <w:bookmarkStart w:id="55" w:name="_Toc18795"/>
      <w:bookmarkStart w:id="56" w:name="_Toc4457"/>
      <w:bookmarkStart w:id="57" w:name="_Toc23751"/>
      <w:bookmarkStart w:id="58" w:name="_Toc13770"/>
      <w:r>
        <w:rPr>
          <w:rFonts w:hint="eastAsia" w:ascii="CESI仿宋-GB2312" w:hAnsi="CESI仿宋-GB2312" w:eastAsia="CESI仿宋-GB2312" w:cs="CESI仿宋-GB2312"/>
          <w:b/>
          <w:sz w:val="28"/>
          <w:szCs w:val="28"/>
        </w:rPr>
        <w:t>一、资格性审查</w:t>
      </w:r>
      <w:bookmarkEnd w:id="51"/>
      <w:bookmarkEnd w:id="52"/>
      <w:bookmarkEnd w:id="53"/>
      <w:bookmarkEnd w:id="54"/>
      <w:bookmarkEnd w:id="55"/>
      <w:bookmarkEnd w:id="56"/>
      <w:bookmarkEnd w:id="57"/>
      <w:bookmarkEnd w:id="58"/>
    </w:p>
    <w:p>
      <w:pPr>
        <w:pStyle w:val="11"/>
        <w:pageBreakBefore w:val="0"/>
        <w:topLinePunct w:val="0"/>
        <w:bidi w:val="0"/>
        <w:spacing w:before="0" w:beforeAutospacing="0" w:after="0" w:afterAutospacing="0" w:line="500" w:lineRule="exact"/>
        <w:ind w:left="0" w:right="0"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在采购项目开标结束后,评标委员会应当依照有关法律和竞争性磋商文件对</w:t>
      </w:r>
      <w:r>
        <w:rPr>
          <w:rFonts w:hint="eastAsia" w:ascii="CESI仿宋-GB2312" w:hAnsi="CESI仿宋-GB2312" w:eastAsia="CESI仿宋-GB2312" w:cs="CESI仿宋-GB2312"/>
          <w:sz w:val="28"/>
          <w:szCs w:val="28"/>
          <w:lang w:eastAsia="zh-CN"/>
        </w:rPr>
        <w:t>供应商</w:t>
      </w:r>
      <w:r>
        <w:rPr>
          <w:rFonts w:hint="eastAsia" w:ascii="CESI仿宋-GB2312" w:hAnsi="CESI仿宋-GB2312" w:eastAsia="CESI仿宋-GB2312" w:cs="CESI仿宋-GB2312"/>
          <w:sz w:val="28"/>
          <w:szCs w:val="28"/>
        </w:rPr>
        <w:t>的资格进行审查。合格</w:t>
      </w:r>
      <w:r>
        <w:rPr>
          <w:rFonts w:hint="eastAsia" w:ascii="CESI仿宋-GB2312" w:hAnsi="CESI仿宋-GB2312" w:eastAsia="CESI仿宋-GB2312" w:cs="CESI仿宋-GB2312"/>
          <w:sz w:val="28"/>
          <w:szCs w:val="28"/>
          <w:lang w:eastAsia="zh-CN"/>
        </w:rPr>
        <w:t>供应商</w:t>
      </w:r>
      <w:r>
        <w:rPr>
          <w:rFonts w:hint="eastAsia" w:ascii="CESI仿宋-GB2312" w:hAnsi="CESI仿宋-GB2312" w:eastAsia="CESI仿宋-GB2312" w:cs="CESI仿宋-GB2312"/>
          <w:sz w:val="28"/>
          <w:szCs w:val="28"/>
        </w:rPr>
        <w:t>不足3家的，不得评标。在资格性检查时,如不满足下列情况之一的，视为非实质性响应，为无效投标。</w:t>
      </w:r>
    </w:p>
    <w:tbl>
      <w:tblPr>
        <w:tblStyle w:val="13"/>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28"/>
        <w:gridCol w:w="6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13" w:type="dxa"/>
            <w:vMerge w:val="restart"/>
            <w:noWrap w:val="0"/>
            <w:vAlign w:val="center"/>
          </w:tcPr>
          <w:p>
            <w:pPr>
              <w:keepNext w:val="0"/>
              <w:keepLines w:val="0"/>
              <w:pageBreakBefore w:val="0"/>
              <w:widowControl w:val="0"/>
              <w:topLinePunct w:val="0"/>
              <w:bidi w:val="0"/>
              <w:adjustRightInd/>
              <w:snapToGrid/>
              <w:spacing w:beforeAutospacing="0" w:line="500" w:lineRule="exact"/>
              <w:ind w:left="0" w:right="0" w:firstLine="0" w:firstLineChars="0"/>
              <w:jc w:val="center"/>
              <w:textAlignment w:val="auto"/>
              <w:rPr>
                <w:rFonts w:hint="eastAsia" w:ascii="宋体" w:hAnsi="宋体" w:cs="宋体"/>
                <w:kern w:val="0"/>
                <w:sz w:val="28"/>
                <w:szCs w:val="28"/>
              </w:rPr>
            </w:pPr>
            <w:r>
              <w:rPr>
                <w:rFonts w:hint="eastAsia" w:ascii="宋体" w:hAnsi="宋体" w:cs="宋体"/>
                <w:kern w:val="0"/>
                <w:sz w:val="28"/>
                <w:szCs w:val="28"/>
              </w:rPr>
              <w:t>评审</w:t>
            </w:r>
          </w:p>
          <w:p>
            <w:pPr>
              <w:keepNext w:val="0"/>
              <w:keepLines w:val="0"/>
              <w:pageBreakBefore w:val="0"/>
              <w:widowControl w:val="0"/>
              <w:topLinePunct w:val="0"/>
              <w:bidi w:val="0"/>
              <w:adjustRightInd/>
              <w:snapToGrid/>
              <w:spacing w:beforeAutospacing="0" w:line="500" w:lineRule="exact"/>
              <w:ind w:left="0" w:right="0" w:firstLine="0" w:firstLineChars="0"/>
              <w:jc w:val="center"/>
              <w:textAlignment w:val="auto"/>
              <w:rPr>
                <w:rFonts w:hint="eastAsia" w:ascii="宋体" w:hAnsi="宋体" w:cs="宋体"/>
                <w:kern w:val="0"/>
                <w:sz w:val="28"/>
                <w:szCs w:val="28"/>
              </w:rPr>
            </w:pPr>
            <w:r>
              <w:rPr>
                <w:rFonts w:hint="eastAsia" w:ascii="宋体" w:hAnsi="宋体" w:cs="宋体"/>
                <w:kern w:val="0"/>
                <w:sz w:val="28"/>
                <w:szCs w:val="28"/>
              </w:rPr>
              <w:t>项目</w:t>
            </w:r>
          </w:p>
        </w:tc>
        <w:tc>
          <w:tcPr>
            <w:tcW w:w="1728" w:type="dxa"/>
            <w:vMerge w:val="restart"/>
            <w:noWrap w:val="0"/>
            <w:vAlign w:val="center"/>
          </w:tcPr>
          <w:p>
            <w:pPr>
              <w:keepNext w:val="0"/>
              <w:keepLines w:val="0"/>
              <w:pageBreakBefore w:val="0"/>
              <w:widowControl w:val="0"/>
              <w:topLinePunct w:val="0"/>
              <w:bidi w:val="0"/>
              <w:adjustRightInd/>
              <w:snapToGrid/>
              <w:spacing w:beforeAutospacing="0" w:line="500" w:lineRule="exact"/>
              <w:ind w:left="0" w:right="0" w:firstLine="0" w:firstLineChars="0"/>
              <w:jc w:val="left"/>
              <w:textAlignment w:val="auto"/>
              <w:rPr>
                <w:rFonts w:hint="eastAsia" w:ascii="宋体" w:hAnsi="宋体" w:cs="宋体"/>
                <w:kern w:val="0"/>
                <w:sz w:val="28"/>
                <w:szCs w:val="28"/>
              </w:rPr>
            </w:pPr>
            <w:r>
              <w:rPr>
                <w:rFonts w:hint="eastAsia" w:ascii="宋体" w:hAnsi="宋体" w:cs="宋体"/>
                <w:kern w:val="0"/>
                <w:sz w:val="28"/>
                <w:szCs w:val="28"/>
              </w:rPr>
              <w:t>评审因素</w:t>
            </w:r>
          </w:p>
        </w:tc>
        <w:tc>
          <w:tcPr>
            <w:tcW w:w="6885" w:type="dxa"/>
            <w:vMerge w:val="restart"/>
            <w:noWrap w:val="0"/>
            <w:vAlign w:val="center"/>
          </w:tcPr>
          <w:p>
            <w:pPr>
              <w:keepNext w:val="0"/>
              <w:keepLines w:val="0"/>
              <w:pageBreakBefore w:val="0"/>
              <w:widowControl w:val="0"/>
              <w:topLinePunct w:val="0"/>
              <w:bidi w:val="0"/>
              <w:adjustRightInd/>
              <w:snapToGrid/>
              <w:spacing w:beforeAutospacing="0" w:line="500" w:lineRule="exact"/>
              <w:ind w:left="0" w:right="0" w:firstLine="0" w:firstLineChars="0"/>
              <w:jc w:val="center"/>
              <w:textAlignment w:val="auto"/>
              <w:rPr>
                <w:rFonts w:hint="eastAsia" w:ascii="宋体" w:hAnsi="宋体" w:cs="宋体"/>
                <w:kern w:val="0"/>
                <w:sz w:val="28"/>
                <w:szCs w:val="28"/>
              </w:rPr>
            </w:pPr>
            <w:r>
              <w:rPr>
                <w:rFonts w:hint="eastAsia" w:ascii="宋体" w:hAnsi="宋体" w:cs="宋体"/>
                <w:kern w:val="0"/>
                <w:sz w:val="28"/>
                <w:szCs w:val="28"/>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13" w:type="dxa"/>
            <w:vMerge w:val="continue"/>
            <w:noWrap w:val="0"/>
            <w:vAlign w:val="center"/>
          </w:tcPr>
          <w:p>
            <w:pPr>
              <w:keepNext w:val="0"/>
              <w:keepLines w:val="0"/>
              <w:pageBreakBefore w:val="0"/>
              <w:widowControl w:val="0"/>
              <w:topLinePunct w:val="0"/>
              <w:bidi w:val="0"/>
              <w:adjustRightInd/>
              <w:snapToGrid/>
              <w:spacing w:beforeAutospacing="0" w:line="500" w:lineRule="exact"/>
              <w:ind w:left="0" w:right="0" w:firstLine="0" w:firstLineChars="0"/>
              <w:jc w:val="left"/>
              <w:textAlignment w:val="auto"/>
              <w:rPr>
                <w:rFonts w:hint="eastAsia" w:ascii="宋体" w:hAnsi="宋体" w:cs="宋体"/>
                <w:kern w:val="0"/>
                <w:sz w:val="28"/>
                <w:szCs w:val="28"/>
              </w:rPr>
            </w:pPr>
          </w:p>
        </w:tc>
        <w:tc>
          <w:tcPr>
            <w:tcW w:w="1728" w:type="dxa"/>
            <w:vMerge w:val="continue"/>
            <w:noWrap w:val="0"/>
            <w:vAlign w:val="center"/>
          </w:tcPr>
          <w:p>
            <w:pPr>
              <w:keepNext w:val="0"/>
              <w:keepLines w:val="0"/>
              <w:pageBreakBefore w:val="0"/>
              <w:widowControl w:val="0"/>
              <w:topLinePunct w:val="0"/>
              <w:bidi w:val="0"/>
              <w:adjustRightInd/>
              <w:snapToGrid/>
              <w:spacing w:beforeAutospacing="0" w:line="500" w:lineRule="exact"/>
              <w:ind w:left="0" w:right="0" w:firstLine="0" w:firstLineChars="0"/>
              <w:jc w:val="left"/>
              <w:textAlignment w:val="auto"/>
              <w:rPr>
                <w:rFonts w:hint="eastAsia" w:ascii="宋体" w:hAnsi="宋体" w:cs="宋体"/>
                <w:kern w:val="0"/>
                <w:sz w:val="28"/>
                <w:szCs w:val="28"/>
              </w:rPr>
            </w:pPr>
          </w:p>
        </w:tc>
        <w:tc>
          <w:tcPr>
            <w:tcW w:w="6885" w:type="dxa"/>
            <w:vMerge w:val="continue"/>
            <w:noWrap w:val="0"/>
            <w:vAlign w:val="center"/>
          </w:tcPr>
          <w:p>
            <w:pPr>
              <w:keepNext w:val="0"/>
              <w:keepLines w:val="0"/>
              <w:pageBreakBefore w:val="0"/>
              <w:widowControl w:val="0"/>
              <w:topLinePunct w:val="0"/>
              <w:bidi w:val="0"/>
              <w:adjustRightInd/>
              <w:snapToGrid/>
              <w:spacing w:beforeAutospacing="0" w:line="500" w:lineRule="exact"/>
              <w:ind w:left="0" w:right="0" w:firstLine="0" w:firstLineChars="0"/>
              <w:jc w:val="left"/>
              <w:textAlignment w:val="auto"/>
              <w:rPr>
                <w:rFonts w:hint="eastAsia"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13" w:type="dxa"/>
            <w:vMerge w:val="restart"/>
            <w:noWrap w:val="0"/>
            <w:vAlign w:val="center"/>
          </w:tcPr>
          <w:p>
            <w:pPr>
              <w:keepNext w:val="0"/>
              <w:keepLines w:val="0"/>
              <w:pageBreakBefore w:val="0"/>
              <w:widowControl w:val="0"/>
              <w:topLinePunct w:val="0"/>
              <w:bidi w:val="0"/>
              <w:adjustRightInd/>
              <w:snapToGrid/>
              <w:spacing w:beforeAutospacing="0" w:line="500" w:lineRule="exact"/>
              <w:ind w:left="0" w:right="0" w:firstLine="0" w:firstLineChars="0"/>
              <w:jc w:val="center"/>
              <w:textAlignment w:val="auto"/>
              <w:rPr>
                <w:rFonts w:hint="eastAsia" w:ascii="宋体" w:hAnsi="宋体" w:cs="宋体"/>
                <w:kern w:val="0"/>
                <w:sz w:val="28"/>
                <w:szCs w:val="28"/>
              </w:rPr>
            </w:pPr>
            <w:r>
              <w:rPr>
                <w:rFonts w:hint="eastAsia" w:ascii="宋体" w:hAnsi="宋体" w:cs="宋体"/>
                <w:kern w:val="0"/>
                <w:sz w:val="28"/>
                <w:szCs w:val="28"/>
              </w:rPr>
              <w:t>资</w:t>
            </w:r>
          </w:p>
          <w:p>
            <w:pPr>
              <w:keepNext w:val="0"/>
              <w:keepLines w:val="0"/>
              <w:pageBreakBefore w:val="0"/>
              <w:widowControl w:val="0"/>
              <w:topLinePunct w:val="0"/>
              <w:bidi w:val="0"/>
              <w:adjustRightInd/>
              <w:snapToGrid/>
              <w:spacing w:beforeAutospacing="0" w:line="500" w:lineRule="exact"/>
              <w:ind w:left="0" w:right="0" w:firstLine="0" w:firstLineChars="0"/>
              <w:jc w:val="center"/>
              <w:textAlignment w:val="auto"/>
              <w:rPr>
                <w:rFonts w:hint="eastAsia" w:ascii="宋体" w:hAnsi="宋体" w:cs="宋体"/>
                <w:kern w:val="0"/>
                <w:sz w:val="28"/>
                <w:szCs w:val="28"/>
              </w:rPr>
            </w:pPr>
            <w:r>
              <w:rPr>
                <w:rFonts w:hint="eastAsia" w:ascii="宋体" w:hAnsi="宋体" w:cs="宋体"/>
                <w:kern w:val="0"/>
                <w:sz w:val="28"/>
                <w:szCs w:val="28"/>
              </w:rPr>
              <w:t>格</w:t>
            </w:r>
          </w:p>
          <w:p>
            <w:pPr>
              <w:keepNext w:val="0"/>
              <w:keepLines w:val="0"/>
              <w:pageBreakBefore w:val="0"/>
              <w:widowControl w:val="0"/>
              <w:topLinePunct w:val="0"/>
              <w:bidi w:val="0"/>
              <w:adjustRightInd/>
              <w:snapToGrid/>
              <w:spacing w:beforeAutospacing="0" w:line="500" w:lineRule="exact"/>
              <w:ind w:left="0" w:right="0" w:firstLine="0" w:firstLineChars="0"/>
              <w:jc w:val="center"/>
              <w:textAlignment w:val="auto"/>
              <w:rPr>
                <w:rFonts w:hint="eastAsia" w:ascii="宋体" w:hAnsi="宋体" w:cs="宋体"/>
                <w:kern w:val="0"/>
                <w:sz w:val="28"/>
                <w:szCs w:val="28"/>
              </w:rPr>
            </w:pPr>
            <w:r>
              <w:rPr>
                <w:rFonts w:hint="eastAsia" w:ascii="宋体" w:hAnsi="宋体" w:cs="宋体"/>
                <w:kern w:val="0"/>
                <w:sz w:val="28"/>
                <w:szCs w:val="28"/>
              </w:rPr>
              <w:t>性</w:t>
            </w:r>
          </w:p>
          <w:p>
            <w:pPr>
              <w:keepNext w:val="0"/>
              <w:keepLines w:val="0"/>
              <w:pageBreakBefore w:val="0"/>
              <w:widowControl w:val="0"/>
              <w:topLinePunct w:val="0"/>
              <w:bidi w:val="0"/>
              <w:adjustRightInd/>
              <w:snapToGrid/>
              <w:spacing w:beforeAutospacing="0" w:line="500" w:lineRule="exact"/>
              <w:ind w:left="0" w:right="0" w:firstLine="0" w:firstLineChars="0"/>
              <w:jc w:val="center"/>
              <w:textAlignment w:val="auto"/>
              <w:rPr>
                <w:rFonts w:hint="eastAsia" w:ascii="宋体" w:hAnsi="宋体" w:cs="宋体"/>
                <w:kern w:val="0"/>
                <w:sz w:val="28"/>
                <w:szCs w:val="28"/>
              </w:rPr>
            </w:pPr>
            <w:r>
              <w:rPr>
                <w:rFonts w:hint="eastAsia" w:ascii="宋体" w:hAnsi="宋体" w:cs="宋体"/>
                <w:kern w:val="0"/>
                <w:sz w:val="28"/>
                <w:szCs w:val="28"/>
              </w:rPr>
              <w:t>审</w:t>
            </w:r>
          </w:p>
          <w:p>
            <w:pPr>
              <w:keepNext w:val="0"/>
              <w:keepLines w:val="0"/>
              <w:pageBreakBefore w:val="0"/>
              <w:widowControl w:val="0"/>
              <w:topLinePunct w:val="0"/>
              <w:bidi w:val="0"/>
              <w:adjustRightInd/>
              <w:snapToGrid/>
              <w:spacing w:beforeAutospacing="0" w:line="500" w:lineRule="exact"/>
              <w:ind w:left="0" w:right="0" w:firstLine="0" w:firstLineChars="0"/>
              <w:jc w:val="center"/>
              <w:textAlignment w:val="auto"/>
              <w:rPr>
                <w:rFonts w:hint="eastAsia" w:ascii="宋体" w:hAnsi="宋体" w:cs="宋体"/>
                <w:kern w:val="0"/>
                <w:sz w:val="28"/>
                <w:szCs w:val="28"/>
              </w:rPr>
            </w:pPr>
            <w:r>
              <w:rPr>
                <w:rFonts w:hint="eastAsia" w:ascii="宋体" w:hAnsi="宋体" w:cs="宋体"/>
                <w:kern w:val="0"/>
                <w:sz w:val="28"/>
                <w:szCs w:val="28"/>
              </w:rPr>
              <w:t>查</w:t>
            </w:r>
          </w:p>
        </w:tc>
        <w:tc>
          <w:tcPr>
            <w:tcW w:w="1728" w:type="dxa"/>
            <w:noWrap w:val="0"/>
            <w:vAlign w:val="center"/>
          </w:tcPr>
          <w:p>
            <w:pPr>
              <w:keepNext w:val="0"/>
              <w:keepLines w:val="0"/>
              <w:pageBreakBefore w:val="0"/>
              <w:widowControl w:val="0"/>
              <w:topLinePunct w:val="0"/>
              <w:bidi w:val="0"/>
              <w:adjustRightInd/>
              <w:snapToGrid/>
              <w:spacing w:beforeAutospacing="0" w:line="500" w:lineRule="exact"/>
              <w:ind w:left="0" w:right="0" w:firstLine="0" w:firstLineChars="0"/>
              <w:jc w:val="left"/>
              <w:textAlignment w:val="auto"/>
              <w:rPr>
                <w:rFonts w:hint="eastAsia" w:ascii="宋体" w:hAnsi="宋体" w:cs="宋体"/>
                <w:kern w:val="0"/>
                <w:sz w:val="28"/>
                <w:szCs w:val="28"/>
              </w:rPr>
            </w:pPr>
            <w:r>
              <w:rPr>
                <w:rFonts w:hint="eastAsia" w:ascii="宋体" w:hAnsi="宋体" w:cs="宋体"/>
                <w:kern w:val="0"/>
                <w:sz w:val="28"/>
                <w:szCs w:val="28"/>
              </w:rPr>
              <w:t>营业执照</w:t>
            </w:r>
          </w:p>
        </w:tc>
        <w:tc>
          <w:tcPr>
            <w:tcW w:w="6885" w:type="dxa"/>
            <w:noWrap w:val="0"/>
            <w:vAlign w:val="center"/>
          </w:tcPr>
          <w:p>
            <w:pPr>
              <w:keepNext w:val="0"/>
              <w:keepLines w:val="0"/>
              <w:pageBreakBefore w:val="0"/>
              <w:widowControl w:val="0"/>
              <w:topLinePunct w:val="0"/>
              <w:bidi w:val="0"/>
              <w:adjustRightInd/>
              <w:snapToGrid/>
              <w:spacing w:beforeAutospacing="0" w:line="500" w:lineRule="exact"/>
              <w:ind w:left="0" w:right="0" w:firstLine="0" w:firstLineChars="0"/>
              <w:jc w:val="left"/>
              <w:textAlignment w:val="auto"/>
              <w:rPr>
                <w:rFonts w:hint="eastAsia" w:ascii="宋体" w:hAnsi="宋体" w:cs="宋体"/>
                <w:kern w:val="0"/>
                <w:sz w:val="28"/>
                <w:szCs w:val="28"/>
              </w:rPr>
            </w:pPr>
            <w:r>
              <w:rPr>
                <w:rFonts w:hint="eastAsia" w:ascii="宋体" w:hAnsi="宋体" w:cs="宋体"/>
                <w:kern w:val="0"/>
                <w:sz w:val="28"/>
                <w:szCs w:val="28"/>
              </w:rPr>
              <w:t>具备有效的营业执照，且营业执照经营范围内包含本次采购内容；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13" w:type="dxa"/>
            <w:vMerge w:val="continue"/>
            <w:noWrap w:val="0"/>
            <w:vAlign w:val="center"/>
          </w:tcPr>
          <w:p>
            <w:pPr>
              <w:keepNext w:val="0"/>
              <w:keepLines w:val="0"/>
              <w:pageBreakBefore w:val="0"/>
              <w:widowControl w:val="0"/>
              <w:topLinePunct w:val="0"/>
              <w:bidi w:val="0"/>
              <w:adjustRightInd/>
              <w:snapToGrid/>
              <w:spacing w:beforeAutospacing="0" w:line="500" w:lineRule="exact"/>
              <w:ind w:left="0" w:right="0" w:firstLine="0" w:firstLineChars="0"/>
              <w:jc w:val="center"/>
              <w:textAlignment w:val="auto"/>
              <w:rPr>
                <w:rFonts w:hint="eastAsia" w:ascii="宋体" w:hAnsi="宋体" w:cs="宋体"/>
                <w:kern w:val="0"/>
                <w:sz w:val="28"/>
                <w:szCs w:val="28"/>
              </w:rPr>
            </w:pPr>
          </w:p>
        </w:tc>
        <w:tc>
          <w:tcPr>
            <w:tcW w:w="1728" w:type="dxa"/>
            <w:noWrap w:val="0"/>
            <w:vAlign w:val="center"/>
          </w:tcPr>
          <w:p>
            <w:pPr>
              <w:keepNext w:val="0"/>
              <w:keepLines w:val="0"/>
              <w:pageBreakBefore w:val="0"/>
              <w:widowControl w:val="0"/>
              <w:topLinePunct w:val="0"/>
              <w:bidi w:val="0"/>
              <w:adjustRightInd/>
              <w:snapToGrid/>
              <w:spacing w:beforeAutospacing="0" w:line="500" w:lineRule="exact"/>
              <w:ind w:left="0" w:right="0" w:firstLine="0" w:firstLineChars="0"/>
              <w:jc w:val="left"/>
              <w:textAlignment w:val="auto"/>
              <w:rPr>
                <w:rFonts w:ascii="宋体" w:hAnsi="宋体" w:cs="宋体"/>
                <w:kern w:val="0"/>
                <w:sz w:val="28"/>
                <w:szCs w:val="28"/>
              </w:rPr>
            </w:pPr>
            <w:r>
              <w:rPr>
                <w:rFonts w:hint="eastAsia" w:ascii="宋体" w:hAnsi="宋体" w:cs="宋体"/>
                <w:kern w:val="0"/>
                <w:sz w:val="28"/>
                <w:szCs w:val="28"/>
              </w:rPr>
              <w:t>纳税</w:t>
            </w:r>
          </w:p>
        </w:tc>
        <w:tc>
          <w:tcPr>
            <w:tcW w:w="6885" w:type="dxa"/>
            <w:noWrap w:val="0"/>
            <w:vAlign w:val="center"/>
          </w:tcPr>
          <w:p>
            <w:pPr>
              <w:keepNext w:val="0"/>
              <w:keepLines w:val="0"/>
              <w:pageBreakBefore w:val="0"/>
              <w:widowControl w:val="0"/>
              <w:topLinePunct w:val="0"/>
              <w:bidi w:val="0"/>
              <w:adjustRightInd/>
              <w:snapToGrid/>
              <w:spacing w:beforeAutospacing="0" w:line="500" w:lineRule="exact"/>
              <w:ind w:left="0" w:right="0" w:firstLine="0" w:firstLineChars="0"/>
              <w:jc w:val="left"/>
              <w:textAlignment w:val="auto"/>
              <w:rPr>
                <w:rFonts w:hint="eastAsia" w:ascii="宋体" w:hAnsi="宋体" w:cs="宋体"/>
                <w:kern w:val="0"/>
                <w:sz w:val="28"/>
                <w:szCs w:val="28"/>
              </w:rPr>
            </w:pPr>
            <w:r>
              <w:rPr>
                <w:rFonts w:hint="eastAsia" w:ascii="新宋体" w:hAnsi="新宋体" w:eastAsia="新宋体" w:cs="新宋体"/>
                <w:color w:val="000000"/>
                <w:sz w:val="28"/>
                <w:szCs w:val="28"/>
              </w:rPr>
              <w:t>近3个月的纳税证明（以税务机关出具的税收缴款书或银行扣税凭证为准）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13" w:type="dxa"/>
            <w:vMerge w:val="continue"/>
            <w:noWrap w:val="0"/>
            <w:vAlign w:val="center"/>
          </w:tcPr>
          <w:p>
            <w:pPr>
              <w:keepNext w:val="0"/>
              <w:keepLines w:val="0"/>
              <w:pageBreakBefore w:val="0"/>
              <w:widowControl w:val="0"/>
              <w:topLinePunct w:val="0"/>
              <w:bidi w:val="0"/>
              <w:adjustRightInd/>
              <w:snapToGrid/>
              <w:spacing w:beforeAutospacing="0" w:line="500" w:lineRule="exact"/>
              <w:ind w:left="0" w:right="0" w:firstLine="0" w:firstLineChars="0"/>
              <w:jc w:val="left"/>
              <w:textAlignment w:val="auto"/>
              <w:rPr>
                <w:rFonts w:hint="eastAsia" w:ascii="宋体" w:hAnsi="宋体" w:cs="宋体"/>
                <w:kern w:val="0"/>
                <w:sz w:val="28"/>
                <w:szCs w:val="28"/>
              </w:rPr>
            </w:pPr>
          </w:p>
        </w:tc>
        <w:tc>
          <w:tcPr>
            <w:tcW w:w="1728" w:type="dxa"/>
            <w:noWrap w:val="0"/>
            <w:vAlign w:val="center"/>
          </w:tcPr>
          <w:p>
            <w:pPr>
              <w:keepNext w:val="0"/>
              <w:keepLines w:val="0"/>
              <w:pageBreakBefore w:val="0"/>
              <w:widowControl w:val="0"/>
              <w:tabs>
                <w:tab w:val="left" w:pos="567"/>
                <w:tab w:val="left" w:pos="8460"/>
              </w:tabs>
              <w:kinsoku w:val="0"/>
              <w:overflowPunct w:val="0"/>
              <w:topLinePunct w:val="0"/>
              <w:autoSpaceDE w:val="0"/>
              <w:autoSpaceDN w:val="0"/>
              <w:bidi w:val="0"/>
              <w:adjustRightInd/>
              <w:snapToGrid/>
              <w:spacing w:beforeAutospacing="0" w:line="500" w:lineRule="exact"/>
              <w:ind w:left="0" w:right="0" w:firstLine="0" w:firstLineChars="0"/>
              <w:jc w:val="left"/>
              <w:textAlignment w:val="auto"/>
              <w:rPr>
                <w:rFonts w:ascii="宋体" w:hAnsi="宋体" w:cs="宋体"/>
                <w:kern w:val="0"/>
                <w:sz w:val="28"/>
                <w:szCs w:val="28"/>
              </w:rPr>
            </w:pPr>
            <w:r>
              <w:rPr>
                <w:rFonts w:hint="eastAsia" w:ascii="宋体" w:hAnsi="宋体" w:cs="宋体"/>
                <w:kern w:val="0"/>
                <w:sz w:val="28"/>
                <w:szCs w:val="28"/>
              </w:rPr>
              <w:t>开户许可</w:t>
            </w:r>
          </w:p>
        </w:tc>
        <w:tc>
          <w:tcPr>
            <w:tcW w:w="6885" w:type="dxa"/>
            <w:noWrap w:val="0"/>
            <w:vAlign w:val="center"/>
          </w:tcPr>
          <w:p>
            <w:pPr>
              <w:pStyle w:val="11"/>
              <w:keepNext w:val="0"/>
              <w:keepLines w:val="0"/>
              <w:pageBreakBefore w:val="0"/>
              <w:widowControl w:val="0"/>
              <w:wordWrap w:val="0"/>
              <w:topLinePunct w:val="0"/>
              <w:bidi w:val="0"/>
              <w:adjustRightInd/>
              <w:snapToGrid/>
              <w:spacing w:before="0" w:beforeAutospacing="0" w:after="0" w:afterAutospacing="0" w:line="500" w:lineRule="exact"/>
              <w:ind w:left="0" w:right="0" w:firstLine="0" w:firstLineChars="0"/>
              <w:textAlignment w:val="auto"/>
              <w:rPr>
                <w:rFonts w:cs="宋体"/>
                <w:sz w:val="28"/>
                <w:szCs w:val="28"/>
              </w:rPr>
            </w:pPr>
            <w:r>
              <w:rPr>
                <w:rFonts w:hint="eastAsia" w:cs="宋体"/>
                <w:sz w:val="28"/>
                <w:szCs w:val="28"/>
              </w:rPr>
              <w:t>基本账户开户许可证。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13" w:type="dxa"/>
            <w:vMerge w:val="continue"/>
            <w:noWrap w:val="0"/>
            <w:vAlign w:val="center"/>
          </w:tcPr>
          <w:p>
            <w:pPr>
              <w:keepNext w:val="0"/>
              <w:keepLines w:val="0"/>
              <w:pageBreakBefore w:val="0"/>
              <w:widowControl w:val="0"/>
              <w:topLinePunct w:val="0"/>
              <w:bidi w:val="0"/>
              <w:adjustRightInd/>
              <w:snapToGrid/>
              <w:spacing w:beforeAutospacing="0" w:line="500" w:lineRule="exact"/>
              <w:ind w:left="0" w:right="0" w:firstLine="0" w:firstLineChars="0"/>
              <w:jc w:val="left"/>
              <w:textAlignment w:val="auto"/>
              <w:rPr>
                <w:rFonts w:hint="eastAsia" w:ascii="宋体" w:hAnsi="宋体" w:cs="宋体"/>
                <w:kern w:val="0"/>
                <w:sz w:val="28"/>
                <w:szCs w:val="28"/>
              </w:rPr>
            </w:pPr>
          </w:p>
        </w:tc>
        <w:tc>
          <w:tcPr>
            <w:tcW w:w="1728" w:type="dxa"/>
            <w:noWrap w:val="0"/>
            <w:vAlign w:val="center"/>
          </w:tcPr>
          <w:p>
            <w:pPr>
              <w:keepNext w:val="0"/>
              <w:keepLines w:val="0"/>
              <w:pageBreakBefore w:val="0"/>
              <w:widowControl w:val="0"/>
              <w:tabs>
                <w:tab w:val="left" w:pos="567"/>
                <w:tab w:val="left" w:pos="8460"/>
              </w:tabs>
              <w:kinsoku w:val="0"/>
              <w:overflowPunct w:val="0"/>
              <w:topLinePunct w:val="0"/>
              <w:autoSpaceDE w:val="0"/>
              <w:autoSpaceDN w:val="0"/>
              <w:bidi w:val="0"/>
              <w:adjustRightInd/>
              <w:snapToGrid/>
              <w:spacing w:beforeAutospacing="0" w:line="500" w:lineRule="exact"/>
              <w:ind w:left="0" w:right="0" w:firstLine="0" w:firstLineChars="0"/>
              <w:jc w:val="left"/>
              <w:textAlignment w:val="auto"/>
              <w:rPr>
                <w:rFonts w:ascii="宋体" w:hAnsi="宋体" w:cs="宋体"/>
                <w:kern w:val="0"/>
                <w:sz w:val="28"/>
                <w:szCs w:val="28"/>
              </w:rPr>
            </w:pPr>
            <w:r>
              <w:rPr>
                <w:rFonts w:hint="eastAsia" w:ascii="宋体" w:hAnsi="宋体" w:cs="宋体"/>
                <w:kern w:val="0"/>
                <w:sz w:val="28"/>
                <w:szCs w:val="28"/>
                <w:lang w:eastAsia="zh-CN"/>
              </w:rPr>
              <w:t>无</w:t>
            </w:r>
            <w:r>
              <w:rPr>
                <w:rFonts w:hint="eastAsia" w:ascii="宋体" w:hAnsi="宋体" w:cs="宋体"/>
                <w:kern w:val="0"/>
                <w:sz w:val="28"/>
                <w:szCs w:val="28"/>
              </w:rPr>
              <w:t>违法记录声明</w:t>
            </w:r>
          </w:p>
        </w:tc>
        <w:tc>
          <w:tcPr>
            <w:tcW w:w="6885" w:type="dxa"/>
            <w:noWrap w:val="0"/>
            <w:vAlign w:val="top"/>
          </w:tcPr>
          <w:p>
            <w:pPr>
              <w:pStyle w:val="11"/>
              <w:keepNext w:val="0"/>
              <w:keepLines w:val="0"/>
              <w:pageBreakBefore w:val="0"/>
              <w:widowControl w:val="0"/>
              <w:wordWrap w:val="0"/>
              <w:topLinePunct w:val="0"/>
              <w:bidi w:val="0"/>
              <w:adjustRightInd/>
              <w:snapToGrid/>
              <w:spacing w:before="0" w:beforeAutospacing="0" w:after="0" w:afterAutospacing="0" w:line="500" w:lineRule="exact"/>
              <w:ind w:left="0" w:right="0" w:firstLine="0" w:firstLineChars="0"/>
              <w:textAlignment w:val="auto"/>
              <w:rPr>
                <w:rFonts w:hint="eastAsia" w:cs="宋体"/>
                <w:sz w:val="28"/>
                <w:szCs w:val="28"/>
              </w:rPr>
            </w:pPr>
            <w:r>
              <w:rPr>
                <w:rFonts w:hint="eastAsia" w:cs="宋体"/>
                <w:sz w:val="28"/>
                <w:szCs w:val="28"/>
              </w:rPr>
              <w:t>参加本次投标前三年内，在经营活动中无重大违法违纪记录，</w:t>
            </w:r>
            <w:r>
              <w:rPr>
                <w:rFonts w:hint="eastAsia" w:cs="宋体"/>
                <w:sz w:val="28"/>
                <w:szCs w:val="28"/>
                <w:lang w:eastAsia="zh-CN"/>
              </w:rPr>
              <w:t>供应商</w:t>
            </w:r>
            <w:r>
              <w:rPr>
                <w:rFonts w:hint="eastAsia" w:cs="宋体"/>
                <w:sz w:val="28"/>
                <w:szCs w:val="28"/>
              </w:rPr>
              <w:t>不存在尚未了结的诉讼案件的声明。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13" w:type="dxa"/>
            <w:vMerge w:val="continue"/>
            <w:noWrap w:val="0"/>
            <w:vAlign w:val="center"/>
          </w:tcPr>
          <w:p>
            <w:pPr>
              <w:keepNext w:val="0"/>
              <w:keepLines w:val="0"/>
              <w:pageBreakBefore w:val="0"/>
              <w:widowControl w:val="0"/>
              <w:topLinePunct w:val="0"/>
              <w:bidi w:val="0"/>
              <w:adjustRightInd/>
              <w:snapToGrid/>
              <w:spacing w:beforeAutospacing="0" w:line="500" w:lineRule="exact"/>
              <w:ind w:left="0" w:right="0" w:firstLine="0" w:firstLineChars="0"/>
              <w:jc w:val="left"/>
              <w:textAlignment w:val="auto"/>
              <w:rPr>
                <w:rFonts w:hint="eastAsia" w:ascii="宋体" w:hAnsi="宋体" w:cs="宋体"/>
                <w:kern w:val="0"/>
                <w:sz w:val="28"/>
                <w:szCs w:val="28"/>
              </w:rPr>
            </w:pPr>
          </w:p>
        </w:tc>
        <w:tc>
          <w:tcPr>
            <w:tcW w:w="1728" w:type="dxa"/>
            <w:noWrap w:val="0"/>
            <w:vAlign w:val="center"/>
          </w:tcPr>
          <w:p>
            <w:pPr>
              <w:keepNext w:val="0"/>
              <w:keepLines w:val="0"/>
              <w:pageBreakBefore w:val="0"/>
              <w:widowControl w:val="0"/>
              <w:tabs>
                <w:tab w:val="left" w:pos="567"/>
                <w:tab w:val="left" w:pos="8460"/>
              </w:tabs>
              <w:kinsoku w:val="0"/>
              <w:overflowPunct w:val="0"/>
              <w:topLinePunct w:val="0"/>
              <w:autoSpaceDE w:val="0"/>
              <w:autoSpaceDN w:val="0"/>
              <w:bidi w:val="0"/>
              <w:adjustRightInd/>
              <w:snapToGrid/>
              <w:spacing w:beforeAutospacing="0" w:line="500" w:lineRule="exact"/>
              <w:ind w:left="0" w:right="0" w:firstLine="0" w:firstLineChars="0"/>
              <w:jc w:val="left"/>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技术能力</w:t>
            </w:r>
          </w:p>
          <w:p>
            <w:pPr>
              <w:keepNext w:val="0"/>
              <w:keepLines w:val="0"/>
              <w:pageBreakBefore w:val="0"/>
              <w:widowControl w:val="0"/>
              <w:tabs>
                <w:tab w:val="left" w:pos="567"/>
                <w:tab w:val="left" w:pos="8460"/>
              </w:tabs>
              <w:kinsoku w:val="0"/>
              <w:overflowPunct w:val="0"/>
              <w:topLinePunct w:val="0"/>
              <w:autoSpaceDE w:val="0"/>
              <w:autoSpaceDN w:val="0"/>
              <w:bidi w:val="0"/>
              <w:adjustRightInd/>
              <w:snapToGrid/>
              <w:spacing w:beforeAutospacing="0" w:line="500" w:lineRule="exact"/>
              <w:ind w:left="0" w:right="0" w:firstLine="0" w:firstLineChars="0"/>
              <w:jc w:val="left"/>
              <w:textAlignment w:val="auto"/>
              <w:rPr>
                <w:rFonts w:hint="default" w:ascii="宋体" w:hAnsi="宋体" w:cs="宋体" w:eastAsiaTheme="minorEastAsia"/>
                <w:kern w:val="0"/>
                <w:sz w:val="28"/>
                <w:szCs w:val="28"/>
                <w:lang w:val="en-US" w:eastAsia="zh-CN"/>
              </w:rPr>
            </w:pPr>
            <w:r>
              <w:rPr>
                <w:rFonts w:hint="eastAsia" w:ascii="宋体" w:hAnsi="宋体" w:cs="宋体"/>
                <w:kern w:val="0"/>
                <w:sz w:val="28"/>
                <w:szCs w:val="28"/>
                <w:lang w:val="en-US" w:eastAsia="zh-CN"/>
              </w:rPr>
              <w:t>证明</w:t>
            </w:r>
          </w:p>
        </w:tc>
        <w:tc>
          <w:tcPr>
            <w:tcW w:w="6885" w:type="dxa"/>
            <w:noWrap w:val="0"/>
            <w:vAlign w:val="top"/>
          </w:tcPr>
          <w:p>
            <w:pPr>
              <w:pStyle w:val="11"/>
              <w:keepNext w:val="0"/>
              <w:keepLines w:val="0"/>
              <w:pageBreakBefore w:val="0"/>
              <w:widowControl w:val="0"/>
              <w:wordWrap w:val="0"/>
              <w:topLinePunct w:val="0"/>
              <w:bidi w:val="0"/>
              <w:adjustRightInd/>
              <w:snapToGrid/>
              <w:spacing w:before="0" w:beforeAutospacing="0" w:after="0" w:afterAutospacing="0" w:line="500" w:lineRule="exact"/>
              <w:ind w:left="0" w:right="0" w:firstLine="0" w:firstLineChars="0"/>
              <w:textAlignment w:val="auto"/>
              <w:rPr>
                <w:rFonts w:hint="default" w:cs="宋体" w:eastAsiaTheme="minorEastAsia"/>
                <w:sz w:val="28"/>
                <w:szCs w:val="28"/>
                <w:lang w:val="en-US" w:eastAsia="zh-CN"/>
              </w:rPr>
            </w:pPr>
            <w:r>
              <w:rPr>
                <w:rFonts w:hint="default" w:cs="宋体" w:eastAsiaTheme="minorEastAsia"/>
                <w:sz w:val="28"/>
                <w:szCs w:val="28"/>
                <w:lang w:val="en-US" w:eastAsia="zh-CN"/>
              </w:rPr>
              <w:t>供应商能够提供本地化服务、具备加油机计量作弊检测发现能力（附证明材料）的证明材料。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526" w:type="dxa"/>
            <w:gridSpan w:val="3"/>
            <w:noWrap w:val="0"/>
            <w:vAlign w:val="center"/>
          </w:tcPr>
          <w:p>
            <w:pPr>
              <w:keepNext w:val="0"/>
              <w:keepLines w:val="0"/>
              <w:pageBreakBefore w:val="0"/>
              <w:widowControl w:val="0"/>
              <w:topLinePunct w:val="0"/>
              <w:bidi w:val="0"/>
              <w:adjustRightInd/>
              <w:snapToGrid/>
              <w:spacing w:beforeAutospacing="0" w:line="500" w:lineRule="exact"/>
              <w:ind w:left="0" w:right="0" w:firstLine="0" w:firstLineChars="0"/>
              <w:jc w:val="left"/>
              <w:textAlignment w:val="auto"/>
              <w:rPr>
                <w:rFonts w:hint="eastAsia" w:ascii="宋体" w:hAnsi="宋体" w:cs="宋体"/>
                <w:kern w:val="0"/>
                <w:sz w:val="28"/>
                <w:szCs w:val="28"/>
              </w:rPr>
            </w:pPr>
            <w:r>
              <w:rPr>
                <w:rFonts w:hint="eastAsia" w:ascii="宋体" w:hAnsi="宋体" w:cs="宋体"/>
                <w:kern w:val="0"/>
                <w:sz w:val="28"/>
                <w:szCs w:val="28"/>
              </w:rPr>
              <w:t>结论：（写合格或不合格）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9526" w:type="dxa"/>
            <w:gridSpan w:val="3"/>
            <w:noWrap w:val="0"/>
            <w:vAlign w:val="center"/>
          </w:tcPr>
          <w:p>
            <w:pPr>
              <w:keepNext w:val="0"/>
              <w:keepLines w:val="0"/>
              <w:pageBreakBefore w:val="0"/>
              <w:widowControl w:val="0"/>
              <w:topLinePunct w:val="0"/>
              <w:bidi w:val="0"/>
              <w:adjustRightInd/>
              <w:snapToGrid/>
              <w:spacing w:beforeAutospacing="0" w:line="500" w:lineRule="exact"/>
              <w:ind w:left="0" w:right="0" w:firstLine="0" w:firstLineChars="0"/>
              <w:jc w:val="left"/>
              <w:textAlignment w:val="auto"/>
              <w:rPr>
                <w:rFonts w:hint="eastAsia" w:ascii="宋体" w:hAnsi="宋体" w:cs="宋体"/>
                <w:kern w:val="0"/>
                <w:sz w:val="28"/>
                <w:szCs w:val="28"/>
              </w:rPr>
            </w:pPr>
            <w:r>
              <w:rPr>
                <w:rFonts w:hint="eastAsia" w:ascii="宋体" w:hAnsi="宋体" w:cs="宋体"/>
                <w:kern w:val="0"/>
                <w:sz w:val="28"/>
                <w:szCs w:val="28"/>
              </w:rPr>
              <w:t>注：1.√代表通过；×代表不通过。如有一项为×，则结论为不合格。</w:t>
            </w:r>
          </w:p>
          <w:p>
            <w:pPr>
              <w:keepNext w:val="0"/>
              <w:keepLines w:val="0"/>
              <w:pageBreakBefore w:val="0"/>
              <w:widowControl w:val="0"/>
              <w:topLinePunct w:val="0"/>
              <w:bidi w:val="0"/>
              <w:adjustRightInd/>
              <w:snapToGrid/>
              <w:spacing w:beforeAutospacing="0" w:line="500" w:lineRule="exact"/>
              <w:ind w:left="0" w:right="0" w:firstLine="0" w:firstLineChars="0"/>
              <w:jc w:val="left"/>
              <w:textAlignment w:val="auto"/>
              <w:rPr>
                <w:rFonts w:hint="eastAsia" w:ascii="宋体" w:hAnsi="宋体" w:cs="宋体"/>
                <w:kern w:val="0"/>
                <w:sz w:val="28"/>
                <w:szCs w:val="28"/>
              </w:rPr>
            </w:pPr>
            <w:r>
              <w:rPr>
                <w:rFonts w:hint="eastAsia" w:ascii="宋体" w:hAnsi="宋体" w:cs="宋体"/>
                <w:kern w:val="0"/>
                <w:sz w:val="28"/>
                <w:szCs w:val="28"/>
              </w:rPr>
              <w:t>2.由采购人对上述内容对供应商进行审查，审查不合格的，不得进人详细评审程序。</w:t>
            </w:r>
          </w:p>
        </w:tc>
      </w:tr>
    </w:tbl>
    <w:p>
      <w:pPr>
        <w:pageBreakBefore w:val="0"/>
        <w:topLinePunct w:val="0"/>
        <w:bidi w:val="0"/>
        <w:spacing w:beforeAutospacing="0" w:line="500" w:lineRule="exact"/>
        <w:ind w:left="0" w:right="0" w:firstLine="562" w:firstLineChars="200"/>
        <w:rPr>
          <w:rFonts w:hint="eastAsia" w:ascii="宋体" w:hAnsi="宋体" w:cs="宋体"/>
          <w:b/>
          <w:bCs/>
          <w:sz w:val="28"/>
          <w:szCs w:val="28"/>
        </w:rPr>
      </w:pPr>
    </w:p>
    <w:p>
      <w:pPr>
        <w:pageBreakBefore w:val="0"/>
        <w:topLinePunct w:val="0"/>
        <w:bidi w:val="0"/>
        <w:spacing w:beforeAutospacing="0" w:line="500" w:lineRule="exact"/>
        <w:ind w:right="0"/>
        <w:jc w:val="left"/>
        <w:outlineLvl w:val="1"/>
        <w:rPr>
          <w:rFonts w:hint="eastAsia" w:ascii="宋体" w:hAnsi="宋体" w:cs="宋体"/>
          <w:b/>
          <w:sz w:val="28"/>
          <w:szCs w:val="28"/>
        </w:rPr>
      </w:pPr>
      <w:bookmarkStart w:id="59" w:name="_Toc25401"/>
      <w:bookmarkStart w:id="60" w:name="_Toc25694"/>
      <w:bookmarkStart w:id="61" w:name="_Toc29298"/>
      <w:bookmarkStart w:id="62" w:name="_Toc2169"/>
      <w:bookmarkStart w:id="63" w:name="_Toc5740"/>
      <w:bookmarkStart w:id="64" w:name="_Toc26155"/>
      <w:bookmarkStart w:id="65" w:name="_Toc15675"/>
      <w:bookmarkStart w:id="66" w:name="_Toc14302"/>
    </w:p>
    <w:p>
      <w:pPr>
        <w:pageBreakBefore w:val="0"/>
        <w:topLinePunct w:val="0"/>
        <w:bidi w:val="0"/>
        <w:spacing w:beforeAutospacing="0" w:line="500" w:lineRule="exact"/>
        <w:ind w:left="0" w:right="0" w:firstLine="562" w:firstLineChars="200"/>
        <w:jc w:val="left"/>
        <w:outlineLvl w:val="1"/>
        <w:rPr>
          <w:rFonts w:hint="eastAsia" w:ascii="宋体" w:hAnsi="宋体" w:cs="宋体"/>
          <w:b/>
          <w:sz w:val="28"/>
          <w:szCs w:val="28"/>
        </w:rPr>
      </w:pPr>
      <w:r>
        <w:rPr>
          <w:rFonts w:hint="eastAsia" w:ascii="宋体" w:hAnsi="宋体" w:cs="宋体"/>
          <w:b/>
          <w:sz w:val="28"/>
          <w:szCs w:val="28"/>
        </w:rPr>
        <w:t>二、符合性审查</w:t>
      </w:r>
      <w:bookmarkEnd w:id="59"/>
      <w:bookmarkEnd w:id="60"/>
      <w:bookmarkEnd w:id="61"/>
      <w:bookmarkEnd w:id="62"/>
      <w:bookmarkEnd w:id="63"/>
      <w:bookmarkEnd w:id="64"/>
      <w:bookmarkEnd w:id="65"/>
      <w:bookmarkEnd w:id="66"/>
    </w:p>
    <w:p>
      <w:pPr>
        <w:pStyle w:val="7"/>
        <w:pageBreakBefore w:val="0"/>
        <w:topLinePunct w:val="0"/>
        <w:bidi w:val="0"/>
        <w:adjustRightInd w:val="0"/>
        <w:snapToGrid w:val="0"/>
        <w:spacing w:beforeAutospacing="0" w:line="500" w:lineRule="exact"/>
        <w:ind w:left="0" w:right="0" w:firstLine="560" w:firstLineChars="200"/>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评标委员会应当对符合资格的</w:t>
      </w:r>
      <w:r>
        <w:rPr>
          <w:rFonts w:hint="eastAsia" w:ascii="CESI仿宋-GB2312" w:hAnsi="CESI仿宋-GB2312" w:eastAsia="CESI仿宋-GB2312" w:cs="CESI仿宋-GB2312"/>
          <w:sz w:val="28"/>
          <w:szCs w:val="28"/>
          <w:lang w:eastAsia="zh-CN"/>
        </w:rPr>
        <w:t>供应商</w:t>
      </w:r>
      <w:r>
        <w:rPr>
          <w:rFonts w:hint="eastAsia" w:ascii="CESI仿宋-GB2312" w:hAnsi="CESI仿宋-GB2312" w:eastAsia="CESI仿宋-GB2312" w:cs="CESI仿宋-GB2312"/>
          <w:sz w:val="28"/>
          <w:szCs w:val="28"/>
        </w:rPr>
        <w:t>的响应文件进行符合性审查，以确定其是否满足竞争性磋商文件的实质性要求。评标委员会决定投标的响应性只根据响应文件本身的内容，而不依据外部的证据。在符合检查时，如有下列情况之一的，经评标委员会认定，视为非实质性响应，为无效投标。</w:t>
      </w:r>
    </w:p>
    <w:tbl>
      <w:tblPr>
        <w:tblStyle w:val="13"/>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3922"/>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820" w:type="dxa"/>
            <w:noWrap w:val="0"/>
            <w:vAlign w:val="center"/>
          </w:tcPr>
          <w:p>
            <w:pPr>
              <w:keepNext w:val="0"/>
              <w:keepLines w:val="0"/>
              <w:pageBreakBefore w:val="0"/>
              <w:widowControl w:val="0"/>
              <w:wordWrap/>
              <w:topLinePunct w:val="0"/>
              <w:bidi w:val="0"/>
              <w:adjustRightInd/>
              <w:snapToGrid/>
              <w:spacing w:beforeAutospacing="0" w:line="500" w:lineRule="exact"/>
              <w:ind w:left="0" w:right="0" w:firstLine="0" w:firstLineChars="0"/>
              <w:textAlignment w:val="auto"/>
              <w:rPr>
                <w:rFonts w:hint="eastAsia" w:ascii="宋体" w:hAnsi="宋体" w:cs="宋体"/>
                <w:kern w:val="0"/>
                <w:sz w:val="28"/>
                <w:szCs w:val="28"/>
              </w:rPr>
            </w:pPr>
            <w:r>
              <w:rPr>
                <w:rFonts w:hint="eastAsia" w:ascii="宋体" w:hAnsi="宋体" w:cs="宋体"/>
                <w:kern w:val="0"/>
                <w:sz w:val="28"/>
                <w:szCs w:val="28"/>
              </w:rPr>
              <w:t>评审</w:t>
            </w:r>
          </w:p>
          <w:p>
            <w:pPr>
              <w:keepNext w:val="0"/>
              <w:keepLines w:val="0"/>
              <w:pageBreakBefore w:val="0"/>
              <w:widowControl w:val="0"/>
              <w:wordWrap/>
              <w:topLinePunct w:val="0"/>
              <w:bidi w:val="0"/>
              <w:adjustRightInd/>
              <w:snapToGrid/>
              <w:spacing w:beforeAutospacing="0" w:line="500" w:lineRule="exact"/>
              <w:ind w:left="0" w:right="0" w:firstLine="0" w:firstLineChars="0"/>
              <w:jc w:val="left"/>
              <w:textAlignment w:val="auto"/>
              <w:rPr>
                <w:rFonts w:hint="eastAsia" w:ascii="宋体" w:hAnsi="宋体" w:cs="宋体"/>
                <w:kern w:val="0"/>
                <w:sz w:val="28"/>
                <w:szCs w:val="28"/>
              </w:rPr>
            </w:pPr>
            <w:r>
              <w:rPr>
                <w:rFonts w:hint="eastAsia" w:ascii="宋体" w:hAnsi="宋体" w:cs="宋体"/>
                <w:kern w:val="0"/>
                <w:sz w:val="28"/>
                <w:szCs w:val="28"/>
              </w:rPr>
              <w:t>项目</w:t>
            </w:r>
          </w:p>
        </w:tc>
        <w:tc>
          <w:tcPr>
            <w:tcW w:w="3922" w:type="dxa"/>
            <w:noWrap w:val="0"/>
            <w:vAlign w:val="center"/>
          </w:tcPr>
          <w:p>
            <w:pPr>
              <w:keepNext w:val="0"/>
              <w:keepLines w:val="0"/>
              <w:pageBreakBefore w:val="0"/>
              <w:widowControl w:val="0"/>
              <w:wordWrap/>
              <w:topLinePunct w:val="0"/>
              <w:bidi w:val="0"/>
              <w:adjustRightInd/>
              <w:snapToGrid/>
              <w:spacing w:beforeAutospacing="0" w:line="500" w:lineRule="exact"/>
              <w:ind w:left="0" w:right="0" w:firstLine="0" w:firstLineChars="0"/>
              <w:jc w:val="left"/>
              <w:textAlignment w:val="auto"/>
              <w:rPr>
                <w:rFonts w:hint="eastAsia" w:ascii="宋体" w:hAnsi="宋体" w:cs="宋体"/>
                <w:kern w:val="0"/>
                <w:sz w:val="28"/>
                <w:szCs w:val="28"/>
              </w:rPr>
            </w:pPr>
            <w:r>
              <w:rPr>
                <w:rFonts w:hint="eastAsia" w:ascii="宋体" w:hAnsi="宋体" w:cs="宋体"/>
                <w:kern w:val="0"/>
                <w:sz w:val="28"/>
                <w:szCs w:val="28"/>
              </w:rPr>
              <w:t>评审因素</w:t>
            </w:r>
          </w:p>
        </w:tc>
        <w:tc>
          <w:tcPr>
            <w:tcW w:w="4460" w:type="dxa"/>
            <w:noWrap w:val="0"/>
            <w:vAlign w:val="center"/>
          </w:tcPr>
          <w:p>
            <w:pPr>
              <w:keepNext w:val="0"/>
              <w:keepLines w:val="0"/>
              <w:pageBreakBefore w:val="0"/>
              <w:widowControl w:val="0"/>
              <w:wordWrap/>
              <w:topLinePunct w:val="0"/>
              <w:bidi w:val="0"/>
              <w:adjustRightInd/>
              <w:snapToGrid/>
              <w:spacing w:beforeAutospacing="0" w:line="500" w:lineRule="exact"/>
              <w:ind w:left="0" w:right="0" w:firstLine="0" w:firstLineChars="0"/>
              <w:jc w:val="center"/>
              <w:textAlignment w:val="auto"/>
              <w:rPr>
                <w:rFonts w:hint="eastAsia" w:ascii="宋体" w:hAnsi="宋体" w:cs="宋体"/>
                <w:kern w:val="0"/>
                <w:sz w:val="28"/>
                <w:szCs w:val="28"/>
              </w:rPr>
            </w:pPr>
            <w:r>
              <w:rPr>
                <w:rFonts w:hint="eastAsia" w:ascii="宋体" w:hAnsi="宋体" w:cs="宋体"/>
                <w:kern w:val="0"/>
                <w:sz w:val="28"/>
                <w:szCs w:val="28"/>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820" w:type="dxa"/>
            <w:vMerge w:val="restart"/>
            <w:noWrap w:val="0"/>
            <w:vAlign w:val="center"/>
          </w:tcPr>
          <w:p>
            <w:pPr>
              <w:keepNext w:val="0"/>
              <w:keepLines w:val="0"/>
              <w:pageBreakBefore w:val="0"/>
              <w:widowControl w:val="0"/>
              <w:tabs>
                <w:tab w:val="left" w:pos="567"/>
                <w:tab w:val="left" w:pos="8460"/>
              </w:tabs>
              <w:kinsoku w:val="0"/>
              <w:wordWrap/>
              <w:overflowPunct w:val="0"/>
              <w:topLinePunct w:val="0"/>
              <w:autoSpaceDE w:val="0"/>
              <w:autoSpaceDN w:val="0"/>
              <w:bidi w:val="0"/>
              <w:adjustRightInd/>
              <w:snapToGrid/>
              <w:spacing w:beforeAutospacing="0" w:line="500" w:lineRule="exact"/>
              <w:ind w:left="0" w:right="0" w:firstLine="0" w:firstLineChars="0"/>
              <w:jc w:val="center"/>
              <w:textAlignment w:val="auto"/>
              <w:rPr>
                <w:rFonts w:hint="eastAsia" w:ascii="宋体" w:hAnsi="宋体" w:cs="宋体"/>
                <w:kern w:val="0"/>
                <w:sz w:val="28"/>
                <w:szCs w:val="28"/>
              </w:rPr>
            </w:pPr>
            <w:r>
              <w:rPr>
                <w:rFonts w:hint="eastAsia" w:ascii="宋体" w:hAnsi="宋体" w:cs="宋体"/>
                <w:kern w:val="0"/>
                <w:sz w:val="28"/>
                <w:szCs w:val="28"/>
              </w:rPr>
              <w:t>符</w:t>
            </w:r>
          </w:p>
          <w:p>
            <w:pPr>
              <w:keepNext w:val="0"/>
              <w:keepLines w:val="0"/>
              <w:pageBreakBefore w:val="0"/>
              <w:widowControl w:val="0"/>
              <w:tabs>
                <w:tab w:val="left" w:pos="567"/>
                <w:tab w:val="left" w:pos="8460"/>
              </w:tabs>
              <w:kinsoku w:val="0"/>
              <w:wordWrap/>
              <w:overflowPunct w:val="0"/>
              <w:topLinePunct w:val="0"/>
              <w:autoSpaceDE w:val="0"/>
              <w:autoSpaceDN w:val="0"/>
              <w:bidi w:val="0"/>
              <w:adjustRightInd/>
              <w:snapToGrid/>
              <w:spacing w:beforeAutospacing="0" w:line="500" w:lineRule="exact"/>
              <w:ind w:left="0" w:right="0" w:firstLine="0" w:firstLineChars="0"/>
              <w:jc w:val="center"/>
              <w:textAlignment w:val="auto"/>
              <w:rPr>
                <w:rFonts w:hint="eastAsia" w:ascii="宋体" w:hAnsi="宋体" w:cs="宋体"/>
                <w:kern w:val="0"/>
                <w:sz w:val="28"/>
                <w:szCs w:val="28"/>
              </w:rPr>
            </w:pPr>
            <w:r>
              <w:rPr>
                <w:rFonts w:hint="eastAsia" w:ascii="宋体" w:hAnsi="宋体" w:cs="宋体"/>
                <w:kern w:val="0"/>
                <w:sz w:val="28"/>
                <w:szCs w:val="28"/>
              </w:rPr>
              <w:t>合</w:t>
            </w:r>
          </w:p>
          <w:p>
            <w:pPr>
              <w:keepNext w:val="0"/>
              <w:keepLines w:val="0"/>
              <w:pageBreakBefore w:val="0"/>
              <w:widowControl w:val="0"/>
              <w:tabs>
                <w:tab w:val="left" w:pos="567"/>
                <w:tab w:val="left" w:pos="8460"/>
              </w:tabs>
              <w:kinsoku w:val="0"/>
              <w:wordWrap/>
              <w:overflowPunct w:val="0"/>
              <w:topLinePunct w:val="0"/>
              <w:autoSpaceDE w:val="0"/>
              <w:autoSpaceDN w:val="0"/>
              <w:bidi w:val="0"/>
              <w:adjustRightInd/>
              <w:snapToGrid/>
              <w:spacing w:beforeAutospacing="0" w:line="500" w:lineRule="exact"/>
              <w:ind w:left="0" w:right="0" w:firstLine="0" w:firstLineChars="0"/>
              <w:jc w:val="center"/>
              <w:textAlignment w:val="auto"/>
              <w:rPr>
                <w:rFonts w:hint="eastAsia" w:ascii="宋体" w:hAnsi="宋体" w:cs="宋体"/>
                <w:kern w:val="0"/>
                <w:sz w:val="28"/>
                <w:szCs w:val="28"/>
              </w:rPr>
            </w:pPr>
            <w:r>
              <w:rPr>
                <w:rFonts w:hint="eastAsia" w:ascii="宋体" w:hAnsi="宋体" w:cs="宋体"/>
                <w:kern w:val="0"/>
                <w:sz w:val="28"/>
                <w:szCs w:val="28"/>
              </w:rPr>
              <w:t>性</w:t>
            </w:r>
          </w:p>
          <w:p>
            <w:pPr>
              <w:keepNext w:val="0"/>
              <w:keepLines w:val="0"/>
              <w:pageBreakBefore w:val="0"/>
              <w:widowControl w:val="0"/>
              <w:tabs>
                <w:tab w:val="left" w:pos="567"/>
                <w:tab w:val="left" w:pos="8460"/>
              </w:tabs>
              <w:kinsoku w:val="0"/>
              <w:wordWrap/>
              <w:overflowPunct w:val="0"/>
              <w:topLinePunct w:val="0"/>
              <w:autoSpaceDE w:val="0"/>
              <w:autoSpaceDN w:val="0"/>
              <w:bidi w:val="0"/>
              <w:adjustRightInd/>
              <w:snapToGrid/>
              <w:spacing w:beforeAutospacing="0" w:line="500" w:lineRule="exact"/>
              <w:ind w:left="0" w:right="0" w:firstLine="0" w:firstLineChars="0"/>
              <w:jc w:val="center"/>
              <w:textAlignment w:val="auto"/>
              <w:rPr>
                <w:rFonts w:hint="eastAsia" w:ascii="宋体" w:hAnsi="宋体" w:cs="宋体"/>
                <w:kern w:val="0"/>
                <w:sz w:val="28"/>
                <w:szCs w:val="28"/>
              </w:rPr>
            </w:pPr>
            <w:r>
              <w:rPr>
                <w:rFonts w:hint="eastAsia" w:ascii="宋体" w:hAnsi="宋体" w:cs="宋体"/>
                <w:kern w:val="0"/>
                <w:sz w:val="28"/>
                <w:szCs w:val="28"/>
              </w:rPr>
              <w:t>审</w:t>
            </w:r>
          </w:p>
          <w:p>
            <w:pPr>
              <w:keepNext w:val="0"/>
              <w:keepLines w:val="0"/>
              <w:pageBreakBefore w:val="0"/>
              <w:widowControl w:val="0"/>
              <w:tabs>
                <w:tab w:val="left" w:pos="567"/>
                <w:tab w:val="left" w:pos="8460"/>
              </w:tabs>
              <w:kinsoku w:val="0"/>
              <w:wordWrap/>
              <w:overflowPunct w:val="0"/>
              <w:topLinePunct w:val="0"/>
              <w:autoSpaceDE w:val="0"/>
              <w:autoSpaceDN w:val="0"/>
              <w:bidi w:val="0"/>
              <w:adjustRightInd/>
              <w:snapToGrid/>
              <w:spacing w:beforeAutospacing="0" w:line="500" w:lineRule="exact"/>
              <w:ind w:left="0" w:right="0" w:firstLine="0" w:firstLineChars="0"/>
              <w:jc w:val="center"/>
              <w:textAlignment w:val="auto"/>
              <w:rPr>
                <w:rFonts w:hint="eastAsia" w:ascii="宋体" w:hAnsi="宋体" w:cs="宋体"/>
                <w:kern w:val="0"/>
                <w:sz w:val="28"/>
                <w:szCs w:val="28"/>
              </w:rPr>
            </w:pPr>
            <w:r>
              <w:rPr>
                <w:rFonts w:hint="eastAsia" w:ascii="宋体" w:hAnsi="宋体" w:cs="宋体"/>
                <w:kern w:val="0"/>
                <w:sz w:val="28"/>
                <w:szCs w:val="28"/>
              </w:rPr>
              <w:t>查</w:t>
            </w:r>
          </w:p>
          <w:p>
            <w:pPr>
              <w:keepNext w:val="0"/>
              <w:keepLines w:val="0"/>
              <w:pageBreakBefore w:val="0"/>
              <w:widowControl w:val="0"/>
              <w:tabs>
                <w:tab w:val="left" w:pos="567"/>
                <w:tab w:val="left" w:pos="8460"/>
              </w:tabs>
              <w:kinsoku w:val="0"/>
              <w:wordWrap/>
              <w:overflowPunct w:val="0"/>
              <w:topLinePunct w:val="0"/>
              <w:autoSpaceDE w:val="0"/>
              <w:autoSpaceDN w:val="0"/>
              <w:bidi w:val="0"/>
              <w:adjustRightInd/>
              <w:snapToGrid/>
              <w:spacing w:beforeAutospacing="0" w:line="500" w:lineRule="exact"/>
              <w:ind w:left="0" w:right="0" w:firstLine="0" w:firstLineChars="0"/>
              <w:jc w:val="center"/>
              <w:textAlignment w:val="auto"/>
              <w:rPr>
                <w:rFonts w:hint="eastAsia" w:ascii="宋体" w:hAnsi="宋体" w:cs="宋体"/>
                <w:kern w:val="0"/>
                <w:sz w:val="28"/>
                <w:szCs w:val="28"/>
              </w:rPr>
            </w:pPr>
          </w:p>
        </w:tc>
        <w:tc>
          <w:tcPr>
            <w:tcW w:w="8382" w:type="dxa"/>
            <w:gridSpan w:val="2"/>
            <w:noWrap w:val="0"/>
            <w:vAlign w:val="center"/>
          </w:tcPr>
          <w:p>
            <w:pPr>
              <w:keepNext w:val="0"/>
              <w:keepLines w:val="0"/>
              <w:pageBreakBefore w:val="0"/>
              <w:widowControl w:val="0"/>
              <w:tabs>
                <w:tab w:val="left" w:pos="567"/>
                <w:tab w:val="left" w:pos="8460"/>
              </w:tabs>
              <w:kinsoku w:val="0"/>
              <w:wordWrap/>
              <w:overflowPunct w:val="0"/>
              <w:topLinePunct w:val="0"/>
              <w:autoSpaceDE w:val="0"/>
              <w:autoSpaceDN w:val="0"/>
              <w:bidi w:val="0"/>
              <w:adjustRightInd/>
              <w:snapToGrid/>
              <w:spacing w:beforeAutospacing="0" w:line="500" w:lineRule="exact"/>
              <w:ind w:left="0" w:right="0" w:firstLine="0" w:firstLineChars="0"/>
              <w:textAlignment w:val="auto"/>
              <w:rPr>
                <w:rFonts w:hint="eastAsia" w:ascii="宋体" w:hAnsi="宋体" w:cs="宋体"/>
                <w:kern w:val="0"/>
                <w:sz w:val="28"/>
                <w:szCs w:val="28"/>
              </w:rPr>
            </w:pPr>
            <w:r>
              <w:rPr>
                <w:rFonts w:hint="eastAsia" w:ascii="宋体" w:hAnsi="宋体" w:cs="宋体"/>
                <w:kern w:val="0"/>
                <w:sz w:val="28"/>
                <w:szCs w:val="28"/>
              </w:rPr>
              <w:t>授权委托书：具有有效的授权委托书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820" w:type="dxa"/>
            <w:vMerge w:val="continue"/>
            <w:noWrap w:val="0"/>
            <w:vAlign w:val="center"/>
          </w:tcPr>
          <w:p>
            <w:pPr>
              <w:keepNext w:val="0"/>
              <w:keepLines w:val="0"/>
              <w:pageBreakBefore w:val="0"/>
              <w:widowControl w:val="0"/>
              <w:tabs>
                <w:tab w:val="left" w:pos="567"/>
                <w:tab w:val="left" w:pos="8460"/>
              </w:tabs>
              <w:kinsoku w:val="0"/>
              <w:wordWrap/>
              <w:overflowPunct w:val="0"/>
              <w:topLinePunct w:val="0"/>
              <w:autoSpaceDE w:val="0"/>
              <w:autoSpaceDN w:val="0"/>
              <w:bidi w:val="0"/>
              <w:adjustRightInd/>
              <w:snapToGrid/>
              <w:spacing w:beforeAutospacing="0" w:line="500" w:lineRule="exact"/>
              <w:ind w:left="0" w:right="0" w:firstLine="0" w:firstLineChars="0"/>
              <w:textAlignment w:val="auto"/>
              <w:rPr>
                <w:rFonts w:hint="eastAsia" w:ascii="宋体" w:hAnsi="宋体" w:cs="宋体"/>
                <w:kern w:val="0"/>
                <w:sz w:val="28"/>
                <w:szCs w:val="28"/>
              </w:rPr>
            </w:pPr>
          </w:p>
        </w:tc>
        <w:tc>
          <w:tcPr>
            <w:tcW w:w="8382" w:type="dxa"/>
            <w:gridSpan w:val="2"/>
            <w:noWrap w:val="0"/>
            <w:vAlign w:val="center"/>
          </w:tcPr>
          <w:p>
            <w:pPr>
              <w:keepNext w:val="0"/>
              <w:keepLines w:val="0"/>
              <w:pageBreakBefore w:val="0"/>
              <w:widowControl w:val="0"/>
              <w:tabs>
                <w:tab w:val="left" w:pos="567"/>
                <w:tab w:val="left" w:pos="8460"/>
              </w:tabs>
              <w:kinsoku w:val="0"/>
              <w:wordWrap/>
              <w:overflowPunct w:val="0"/>
              <w:topLinePunct w:val="0"/>
              <w:autoSpaceDE w:val="0"/>
              <w:autoSpaceDN w:val="0"/>
              <w:bidi w:val="0"/>
              <w:adjustRightInd/>
              <w:snapToGrid/>
              <w:spacing w:beforeAutospacing="0" w:line="500" w:lineRule="exact"/>
              <w:ind w:left="0" w:right="0" w:firstLine="0" w:firstLineChars="0"/>
              <w:textAlignment w:val="auto"/>
              <w:rPr>
                <w:rFonts w:hint="eastAsia" w:ascii="宋体" w:hAnsi="宋体" w:cs="宋体"/>
                <w:kern w:val="0"/>
                <w:sz w:val="28"/>
                <w:szCs w:val="28"/>
              </w:rPr>
            </w:pPr>
            <w:r>
              <w:rPr>
                <w:rFonts w:hint="eastAsia" w:ascii="宋体" w:hAnsi="宋体" w:cs="宋体"/>
                <w:kern w:val="0"/>
                <w:sz w:val="28"/>
                <w:szCs w:val="28"/>
              </w:rPr>
              <w:t>响应文件的要求：装订、密封、签署、盖章符合竞争性磋商文件的要求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820" w:type="dxa"/>
            <w:vMerge w:val="continue"/>
            <w:noWrap w:val="0"/>
            <w:vAlign w:val="center"/>
          </w:tcPr>
          <w:p>
            <w:pPr>
              <w:keepNext w:val="0"/>
              <w:keepLines w:val="0"/>
              <w:pageBreakBefore w:val="0"/>
              <w:widowControl w:val="0"/>
              <w:tabs>
                <w:tab w:val="left" w:pos="567"/>
                <w:tab w:val="left" w:pos="8460"/>
              </w:tabs>
              <w:kinsoku w:val="0"/>
              <w:wordWrap/>
              <w:overflowPunct w:val="0"/>
              <w:topLinePunct w:val="0"/>
              <w:autoSpaceDE w:val="0"/>
              <w:autoSpaceDN w:val="0"/>
              <w:bidi w:val="0"/>
              <w:adjustRightInd/>
              <w:snapToGrid/>
              <w:spacing w:beforeAutospacing="0" w:line="500" w:lineRule="exact"/>
              <w:ind w:left="0" w:right="0" w:firstLine="0" w:firstLineChars="0"/>
              <w:textAlignment w:val="auto"/>
              <w:rPr>
                <w:rFonts w:hint="eastAsia" w:ascii="宋体" w:hAnsi="宋体" w:cs="宋体"/>
                <w:kern w:val="0"/>
                <w:sz w:val="28"/>
                <w:szCs w:val="28"/>
              </w:rPr>
            </w:pPr>
          </w:p>
        </w:tc>
        <w:tc>
          <w:tcPr>
            <w:tcW w:w="8382" w:type="dxa"/>
            <w:gridSpan w:val="2"/>
            <w:noWrap w:val="0"/>
            <w:vAlign w:val="center"/>
          </w:tcPr>
          <w:p>
            <w:pPr>
              <w:keepNext w:val="0"/>
              <w:keepLines w:val="0"/>
              <w:pageBreakBefore w:val="0"/>
              <w:widowControl w:val="0"/>
              <w:tabs>
                <w:tab w:val="left" w:pos="567"/>
                <w:tab w:val="left" w:pos="8460"/>
              </w:tabs>
              <w:kinsoku w:val="0"/>
              <w:wordWrap/>
              <w:overflowPunct w:val="0"/>
              <w:topLinePunct w:val="0"/>
              <w:autoSpaceDE w:val="0"/>
              <w:autoSpaceDN w:val="0"/>
              <w:bidi w:val="0"/>
              <w:adjustRightInd/>
              <w:snapToGrid/>
              <w:spacing w:beforeAutospacing="0" w:line="500" w:lineRule="exact"/>
              <w:ind w:left="0" w:right="0" w:firstLine="0" w:firstLineChars="0"/>
              <w:textAlignment w:val="auto"/>
              <w:rPr>
                <w:rFonts w:hint="eastAsia" w:ascii="宋体" w:hAnsi="宋体" w:cs="宋体"/>
                <w:kern w:val="0"/>
                <w:sz w:val="28"/>
                <w:szCs w:val="28"/>
              </w:rPr>
            </w:pPr>
            <w:r>
              <w:rPr>
                <w:rFonts w:hint="eastAsia" w:ascii="宋体" w:hAnsi="宋体" w:cs="宋体"/>
                <w:kern w:val="0"/>
                <w:sz w:val="28"/>
                <w:szCs w:val="28"/>
              </w:rPr>
              <w:t>投标有效期:投标有效期符合竞争性磋商文件要求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820" w:type="dxa"/>
            <w:vMerge w:val="continue"/>
            <w:noWrap w:val="0"/>
            <w:vAlign w:val="center"/>
          </w:tcPr>
          <w:p>
            <w:pPr>
              <w:keepNext w:val="0"/>
              <w:keepLines w:val="0"/>
              <w:pageBreakBefore w:val="0"/>
              <w:widowControl w:val="0"/>
              <w:tabs>
                <w:tab w:val="left" w:pos="567"/>
                <w:tab w:val="left" w:pos="8460"/>
              </w:tabs>
              <w:kinsoku w:val="0"/>
              <w:wordWrap/>
              <w:overflowPunct w:val="0"/>
              <w:topLinePunct w:val="0"/>
              <w:autoSpaceDE w:val="0"/>
              <w:autoSpaceDN w:val="0"/>
              <w:bidi w:val="0"/>
              <w:adjustRightInd/>
              <w:snapToGrid/>
              <w:spacing w:beforeAutospacing="0" w:line="500" w:lineRule="exact"/>
              <w:ind w:left="0" w:right="0" w:firstLine="0" w:firstLineChars="0"/>
              <w:textAlignment w:val="auto"/>
              <w:rPr>
                <w:rFonts w:hint="eastAsia" w:ascii="宋体" w:hAnsi="宋体" w:cs="宋体"/>
                <w:kern w:val="0"/>
                <w:sz w:val="28"/>
                <w:szCs w:val="28"/>
              </w:rPr>
            </w:pPr>
          </w:p>
        </w:tc>
        <w:tc>
          <w:tcPr>
            <w:tcW w:w="8382" w:type="dxa"/>
            <w:gridSpan w:val="2"/>
            <w:noWrap w:val="0"/>
            <w:vAlign w:val="center"/>
          </w:tcPr>
          <w:p>
            <w:pPr>
              <w:keepNext w:val="0"/>
              <w:keepLines w:val="0"/>
              <w:pageBreakBefore w:val="0"/>
              <w:widowControl w:val="0"/>
              <w:tabs>
                <w:tab w:val="left" w:pos="567"/>
                <w:tab w:val="left" w:pos="8460"/>
              </w:tabs>
              <w:kinsoku w:val="0"/>
              <w:wordWrap/>
              <w:overflowPunct w:val="0"/>
              <w:topLinePunct w:val="0"/>
              <w:autoSpaceDE w:val="0"/>
              <w:autoSpaceDN w:val="0"/>
              <w:bidi w:val="0"/>
              <w:adjustRightInd/>
              <w:snapToGrid/>
              <w:spacing w:beforeAutospacing="0" w:line="500" w:lineRule="exact"/>
              <w:ind w:left="0" w:right="0" w:firstLine="0" w:firstLineChars="0"/>
              <w:textAlignment w:val="auto"/>
              <w:rPr>
                <w:rFonts w:hint="eastAsia" w:ascii="宋体" w:hAnsi="宋体" w:cs="宋体"/>
                <w:kern w:val="0"/>
                <w:sz w:val="28"/>
                <w:szCs w:val="28"/>
              </w:rPr>
            </w:pPr>
            <w:r>
              <w:rPr>
                <w:rFonts w:hint="eastAsia" w:ascii="宋体" w:hAnsi="宋体" w:cs="宋体"/>
                <w:kern w:val="0"/>
                <w:sz w:val="28"/>
                <w:szCs w:val="28"/>
              </w:rPr>
              <w:t>投标报价:符合竞争性磋商文件要求，未出现两个及以上报价，未超出本项目采购预算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820" w:type="dxa"/>
            <w:vMerge w:val="continue"/>
            <w:noWrap w:val="0"/>
            <w:vAlign w:val="center"/>
          </w:tcPr>
          <w:p>
            <w:pPr>
              <w:keepNext w:val="0"/>
              <w:keepLines w:val="0"/>
              <w:pageBreakBefore w:val="0"/>
              <w:widowControl w:val="0"/>
              <w:tabs>
                <w:tab w:val="left" w:pos="567"/>
                <w:tab w:val="left" w:pos="8460"/>
              </w:tabs>
              <w:kinsoku w:val="0"/>
              <w:wordWrap/>
              <w:overflowPunct w:val="0"/>
              <w:topLinePunct w:val="0"/>
              <w:autoSpaceDE w:val="0"/>
              <w:autoSpaceDN w:val="0"/>
              <w:bidi w:val="0"/>
              <w:adjustRightInd/>
              <w:snapToGrid/>
              <w:spacing w:beforeAutospacing="0" w:line="500" w:lineRule="exact"/>
              <w:ind w:left="0" w:right="0" w:firstLine="0" w:firstLineChars="0"/>
              <w:textAlignment w:val="auto"/>
              <w:rPr>
                <w:rFonts w:hint="eastAsia" w:ascii="宋体" w:hAnsi="宋体" w:cs="宋体"/>
                <w:kern w:val="0"/>
                <w:sz w:val="28"/>
                <w:szCs w:val="28"/>
              </w:rPr>
            </w:pPr>
          </w:p>
        </w:tc>
        <w:tc>
          <w:tcPr>
            <w:tcW w:w="8382" w:type="dxa"/>
            <w:gridSpan w:val="2"/>
            <w:noWrap w:val="0"/>
            <w:vAlign w:val="center"/>
          </w:tcPr>
          <w:p>
            <w:pPr>
              <w:keepNext w:val="0"/>
              <w:keepLines w:val="0"/>
              <w:pageBreakBefore w:val="0"/>
              <w:widowControl w:val="0"/>
              <w:tabs>
                <w:tab w:val="left" w:pos="567"/>
                <w:tab w:val="left" w:pos="8460"/>
              </w:tabs>
              <w:kinsoku w:val="0"/>
              <w:wordWrap/>
              <w:overflowPunct w:val="0"/>
              <w:topLinePunct w:val="0"/>
              <w:autoSpaceDE w:val="0"/>
              <w:autoSpaceDN w:val="0"/>
              <w:bidi w:val="0"/>
              <w:adjustRightInd/>
              <w:snapToGrid/>
              <w:spacing w:beforeAutospacing="0" w:line="500" w:lineRule="exact"/>
              <w:ind w:left="0" w:right="0" w:firstLine="0" w:firstLineChars="0"/>
              <w:textAlignment w:val="auto"/>
              <w:rPr>
                <w:rFonts w:hint="eastAsia" w:ascii="宋体" w:hAnsi="宋体" w:cs="宋体"/>
                <w:kern w:val="0"/>
                <w:sz w:val="28"/>
                <w:szCs w:val="28"/>
              </w:rPr>
            </w:pPr>
            <w:r>
              <w:rPr>
                <w:rFonts w:hint="eastAsia" w:ascii="宋体" w:hAnsi="宋体" w:cs="宋体"/>
                <w:kern w:val="0"/>
                <w:sz w:val="28"/>
                <w:szCs w:val="28"/>
              </w:rPr>
              <w:t>服务期:符合竞争性磋商文件要求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5" w:hRule="atLeast"/>
          <w:jc w:val="center"/>
        </w:trPr>
        <w:tc>
          <w:tcPr>
            <w:tcW w:w="820" w:type="dxa"/>
            <w:vMerge w:val="continue"/>
            <w:noWrap w:val="0"/>
            <w:vAlign w:val="center"/>
          </w:tcPr>
          <w:p>
            <w:pPr>
              <w:keepNext w:val="0"/>
              <w:keepLines w:val="0"/>
              <w:pageBreakBefore w:val="0"/>
              <w:widowControl w:val="0"/>
              <w:tabs>
                <w:tab w:val="left" w:pos="567"/>
                <w:tab w:val="left" w:pos="8460"/>
              </w:tabs>
              <w:kinsoku w:val="0"/>
              <w:wordWrap/>
              <w:overflowPunct w:val="0"/>
              <w:topLinePunct w:val="0"/>
              <w:autoSpaceDE w:val="0"/>
              <w:autoSpaceDN w:val="0"/>
              <w:bidi w:val="0"/>
              <w:adjustRightInd/>
              <w:snapToGrid/>
              <w:spacing w:beforeAutospacing="0" w:line="500" w:lineRule="exact"/>
              <w:ind w:left="0" w:right="0" w:firstLine="0" w:firstLineChars="0"/>
              <w:textAlignment w:val="auto"/>
              <w:rPr>
                <w:rFonts w:hint="eastAsia" w:ascii="宋体" w:hAnsi="宋体" w:cs="宋体"/>
                <w:kern w:val="0"/>
                <w:sz w:val="28"/>
                <w:szCs w:val="28"/>
              </w:rPr>
            </w:pPr>
          </w:p>
        </w:tc>
        <w:tc>
          <w:tcPr>
            <w:tcW w:w="8382" w:type="dxa"/>
            <w:gridSpan w:val="2"/>
            <w:noWrap w:val="0"/>
            <w:vAlign w:val="center"/>
          </w:tcPr>
          <w:p>
            <w:pPr>
              <w:keepNext w:val="0"/>
              <w:keepLines w:val="0"/>
              <w:pageBreakBefore w:val="0"/>
              <w:widowControl w:val="0"/>
              <w:tabs>
                <w:tab w:val="left" w:pos="567"/>
                <w:tab w:val="left" w:pos="8460"/>
              </w:tabs>
              <w:kinsoku w:val="0"/>
              <w:wordWrap/>
              <w:overflowPunct w:val="0"/>
              <w:topLinePunct w:val="0"/>
              <w:autoSpaceDE w:val="0"/>
              <w:autoSpaceDN w:val="0"/>
              <w:bidi w:val="0"/>
              <w:adjustRightInd/>
              <w:snapToGrid/>
              <w:spacing w:beforeAutospacing="0" w:line="500" w:lineRule="exact"/>
              <w:ind w:left="0" w:right="0" w:firstLine="0" w:firstLineChars="0"/>
              <w:textAlignment w:val="auto"/>
              <w:rPr>
                <w:rFonts w:hint="eastAsia" w:ascii="宋体" w:hAnsi="宋体" w:cs="宋体"/>
                <w:kern w:val="0"/>
                <w:sz w:val="28"/>
                <w:szCs w:val="28"/>
              </w:rPr>
            </w:pPr>
            <w:r>
              <w:rPr>
                <w:rFonts w:hint="eastAsia" w:ascii="宋体" w:hAnsi="宋体" w:cs="宋体"/>
                <w:kern w:val="0"/>
                <w:sz w:val="28"/>
                <w:szCs w:val="28"/>
              </w:rPr>
              <w:t>其他:符合法律、法规的规定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202" w:type="dxa"/>
            <w:gridSpan w:val="3"/>
            <w:noWrap w:val="0"/>
            <w:vAlign w:val="center"/>
          </w:tcPr>
          <w:p>
            <w:pPr>
              <w:keepNext w:val="0"/>
              <w:keepLines w:val="0"/>
              <w:pageBreakBefore w:val="0"/>
              <w:widowControl w:val="0"/>
              <w:tabs>
                <w:tab w:val="left" w:pos="567"/>
                <w:tab w:val="left" w:pos="8460"/>
              </w:tabs>
              <w:kinsoku w:val="0"/>
              <w:wordWrap/>
              <w:overflowPunct w:val="0"/>
              <w:topLinePunct w:val="0"/>
              <w:autoSpaceDE w:val="0"/>
              <w:autoSpaceDN w:val="0"/>
              <w:bidi w:val="0"/>
              <w:adjustRightInd/>
              <w:snapToGrid/>
              <w:spacing w:beforeAutospacing="0" w:line="500" w:lineRule="exact"/>
              <w:ind w:left="0" w:right="0" w:firstLine="0" w:firstLineChars="0"/>
              <w:textAlignment w:val="auto"/>
              <w:rPr>
                <w:rFonts w:hint="eastAsia" w:ascii="宋体" w:hAnsi="宋体" w:cs="宋体"/>
                <w:kern w:val="0"/>
                <w:sz w:val="28"/>
                <w:szCs w:val="28"/>
              </w:rPr>
            </w:pPr>
            <w:r>
              <w:rPr>
                <w:rFonts w:hint="eastAsia" w:ascii="宋体" w:hAnsi="宋体" w:cs="宋体"/>
                <w:kern w:val="0"/>
                <w:sz w:val="28"/>
                <w:szCs w:val="28"/>
              </w:rPr>
              <w:t>结论：（写合格或不合格）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5" w:hRule="atLeast"/>
          <w:jc w:val="center"/>
        </w:trPr>
        <w:tc>
          <w:tcPr>
            <w:tcW w:w="9202" w:type="dxa"/>
            <w:gridSpan w:val="3"/>
            <w:noWrap w:val="0"/>
            <w:vAlign w:val="center"/>
          </w:tcPr>
          <w:p>
            <w:pPr>
              <w:keepNext w:val="0"/>
              <w:keepLines w:val="0"/>
              <w:pageBreakBefore w:val="0"/>
              <w:widowControl w:val="0"/>
              <w:wordWrap/>
              <w:topLinePunct w:val="0"/>
              <w:bidi w:val="0"/>
              <w:adjustRightInd/>
              <w:snapToGrid/>
              <w:spacing w:beforeAutospacing="0" w:line="500" w:lineRule="exact"/>
              <w:ind w:left="0" w:right="0" w:firstLine="0" w:firstLineChars="0"/>
              <w:jc w:val="left"/>
              <w:textAlignment w:val="auto"/>
              <w:rPr>
                <w:rFonts w:hint="eastAsia" w:ascii="宋体" w:hAnsi="宋体" w:cs="宋体"/>
                <w:kern w:val="0"/>
                <w:sz w:val="28"/>
                <w:szCs w:val="28"/>
              </w:rPr>
            </w:pPr>
            <w:r>
              <w:rPr>
                <w:rFonts w:hint="eastAsia" w:ascii="宋体" w:hAnsi="宋体" w:cs="宋体"/>
                <w:kern w:val="0"/>
                <w:sz w:val="28"/>
                <w:szCs w:val="28"/>
              </w:rPr>
              <w:t>注：1.√代表通过；×代表不通过。如有一项为×，则结论为不合格。</w:t>
            </w:r>
          </w:p>
          <w:p>
            <w:pPr>
              <w:keepNext w:val="0"/>
              <w:keepLines w:val="0"/>
              <w:pageBreakBefore w:val="0"/>
              <w:widowControl w:val="0"/>
              <w:tabs>
                <w:tab w:val="left" w:pos="567"/>
                <w:tab w:val="left" w:pos="8460"/>
              </w:tabs>
              <w:kinsoku w:val="0"/>
              <w:wordWrap/>
              <w:overflowPunct w:val="0"/>
              <w:topLinePunct w:val="0"/>
              <w:autoSpaceDE w:val="0"/>
              <w:autoSpaceDN w:val="0"/>
              <w:bidi w:val="0"/>
              <w:adjustRightInd/>
              <w:snapToGrid/>
              <w:spacing w:beforeAutospacing="0" w:line="500" w:lineRule="exact"/>
              <w:ind w:left="0" w:right="0" w:firstLine="0" w:firstLineChars="0"/>
              <w:textAlignment w:val="auto"/>
              <w:rPr>
                <w:rFonts w:hint="eastAsia" w:ascii="宋体" w:hAnsi="宋体" w:cs="宋体"/>
                <w:kern w:val="0"/>
                <w:sz w:val="28"/>
                <w:szCs w:val="28"/>
              </w:rPr>
            </w:pPr>
            <w:r>
              <w:rPr>
                <w:rFonts w:hint="eastAsia" w:ascii="宋体" w:hAnsi="宋体" w:cs="宋体"/>
                <w:kern w:val="0"/>
                <w:sz w:val="28"/>
                <w:szCs w:val="28"/>
              </w:rPr>
              <w:t>2.由采购人对上述内容对供应商进行审查，审查不合格的，不得进人详细评审程序。</w:t>
            </w:r>
          </w:p>
        </w:tc>
      </w:tr>
    </w:tbl>
    <w:p>
      <w:pPr>
        <w:pStyle w:val="12"/>
        <w:pageBreakBefore w:val="0"/>
        <w:topLinePunct w:val="0"/>
        <w:bidi w:val="0"/>
        <w:spacing w:before="0" w:beforeAutospacing="0" w:after="0" w:line="500" w:lineRule="exact"/>
        <w:ind w:left="0" w:right="0" w:firstLine="562" w:firstLineChars="200"/>
        <w:jc w:val="both"/>
        <w:outlineLvl w:val="9"/>
        <w:rPr>
          <w:rFonts w:hint="eastAsia" w:ascii="宋体" w:hAnsi="宋体" w:eastAsia="宋体" w:cs="宋体"/>
          <w:sz w:val="28"/>
          <w:szCs w:val="28"/>
        </w:rPr>
      </w:pPr>
      <w:bookmarkStart w:id="67" w:name="_Toc8306"/>
      <w:bookmarkStart w:id="68" w:name="_Toc1306"/>
      <w:bookmarkStart w:id="69" w:name="_Toc13336"/>
    </w:p>
    <w:p>
      <w:pPr>
        <w:pStyle w:val="12"/>
        <w:pageBreakBefore w:val="0"/>
        <w:topLinePunct w:val="0"/>
        <w:bidi w:val="0"/>
        <w:spacing w:before="0" w:beforeAutospacing="0" w:after="0" w:line="500" w:lineRule="exact"/>
        <w:ind w:left="0" w:right="0" w:firstLine="562" w:firstLineChars="200"/>
        <w:rPr>
          <w:rFonts w:hint="eastAsia" w:ascii="宋体" w:hAnsi="宋体" w:eastAsia="宋体" w:cs="宋体"/>
          <w:sz w:val="28"/>
          <w:szCs w:val="28"/>
        </w:rPr>
      </w:pPr>
      <w:bookmarkStart w:id="70" w:name="_Toc30726"/>
    </w:p>
    <w:p>
      <w:pPr>
        <w:pageBreakBefore w:val="0"/>
        <w:topLinePunct w:val="0"/>
        <w:bidi w:val="0"/>
        <w:spacing w:beforeAutospacing="0" w:line="500" w:lineRule="exact"/>
        <w:ind w:left="0" w:right="0" w:firstLine="560" w:firstLineChars="200"/>
        <w:rPr>
          <w:rFonts w:hint="eastAsia" w:ascii="宋体" w:hAnsi="宋体" w:eastAsia="宋体" w:cs="宋体"/>
          <w:sz w:val="28"/>
          <w:szCs w:val="28"/>
        </w:rPr>
      </w:pPr>
    </w:p>
    <w:p>
      <w:pPr>
        <w:pageBreakBefore w:val="0"/>
        <w:topLinePunct w:val="0"/>
        <w:bidi w:val="0"/>
        <w:spacing w:beforeAutospacing="0" w:line="500" w:lineRule="exact"/>
        <w:ind w:left="0" w:right="0" w:firstLine="560" w:firstLineChars="200"/>
        <w:rPr>
          <w:rFonts w:hint="eastAsia" w:ascii="宋体" w:hAnsi="宋体" w:eastAsia="宋体" w:cs="宋体"/>
          <w:sz w:val="28"/>
          <w:szCs w:val="28"/>
        </w:rPr>
      </w:pPr>
    </w:p>
    <w:p>
      <w:pPr>
        <w:pStyle w:val="12"/>
        <w:pageBreakBefore w:val="0"/>
        <w:topLinePunct w:val="0"/>
        <w:bidi w:val="0"/>
        <w:spacing w:before="0" w:beforeAutospacing="0" w:after="0" w:line="500" w:lineRule="exact"/>
        <w:ind w:left="0" w:right="0" w:firstLine="643" w:firstLineChars="200"/>
        <w:rPr>
          <w:rFonts w:hint="eastAsia" w:ascii="宋体" w:hAnsi="宋体" w:eastAsia="宋体" w:cs="宋体"/>
          <w:sz w:val="28"/>
          <w:szCs w:val="28"/>
        </w:rPr>
      </w:pPr>
      <w:r>
        <w:rPr>
          <w:rFonts w:hint="eastAsia" w:ascii="宋体" w:hAnsi="宋体" w:eastAsia="宋体" w:cs="宋体"/>
          <w:sz w:val="32"/>
          <w:szCs w:val="32"/>
        </w:rPr>
        <w:t>第五章评审原则和方法</w:t>
      </w:r>
      <w:bookmarkEnd w:id="50"/>
      <w:bookmarkEnd w:id="67"/>
      <w:bookmarkEnd w:id="68"/>
      <w:bookmarkEnd w:id="69"/>
      <w:bookmarkEnd w:id="70"/>
    </w:p>
    <w:bookmarkEnd w:id="49"/>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b/>
          <w:bCs/>
          <w:sz w:val="28"/>
          <w:szCs w:val="28"/>
        </w:rPr>
      </w:pPr>
      <w:bookmarkStart w:id="71" w:name="_Toc2881"/>
      <w:r>
        <w:rPr>
          <w:rFonts w:hint="eastAsia" w:ascii="CESI仿宋-GB2312" w:hAnsi="CESI仿宋-GB2312" w:eastAsia="CESI仿宋-GB2312" w:cs="CESI仿宋-GB2312"/>
          <w:b/>
          <w:bCs/>
          <w:sz w:val="28"/>
          <w:szCs w:val="28"/>
        </w:rPr>
        <w:t>一、评审方法</w:t>
      </w:r>
    </w:p>
    <w:p>
      <w:pPr>
        <w:pageBreakBefore w:val="0"/>
        <w:topLinePunct w:val="0"/>
        <w:bidi w:val="0"/>
        <w:spacing w:beforeAutospacing="0" w:line="500" w:lineRule="exact"/>
        <w:ind w:left="0" w:right="0"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最低报价不能作为成交的唯一保证。</w:t>
      </w:r>
    </w:p>
    <w:p>
      <w:pPr>
        <w:pStyle w:val="5"/>
        <w:pageBreakBefore w:val="0"/>
        <w:topLinePunct w:val="0"/>
        <w:bidi w:val="0"/>
        <w:spacing w:beforeAutospacing="0" w:line="500" w:lineRule="exact"/>
        <w:ind w:left="0" w:right="0"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1.提供供应商的《中小企业声明函》、《残疾人福利性单位声明函》及列入“小微企业名录”(http://xwqy.gsxt.gov.cn)网页截图，价格给予6%的扣除。</w:t>
      </w:r>
    </w:p>
    <w:p>
      <w:pPr>
        <w:pStyle w:val="5"/>
        <w:pageBreakBefore w:val="0"/>
        <w:topLinePunct w:val="0"/>
        <w:bidi w:val="0"/>
        <w:spacing w:beforeAutospacing="0" w:line="500" w:lineRule="exact"/>
        <w:ind w:left="0" w:right="0"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2.提供供应商的《中小企业声明函》、《残疾人福利性单位声明函》监狱企业证明材料，未提供、未盖章的不予价格扣除。</w:t>
      </w:r>
    </w:p>
    <w:p>
      <w:pPr>
        <w:pStyle w:val="5"/>
        <w:pageBreakBefore w:val="0"/>
        <w:topLinePunct w:val="0"/>
        <w:bidi w:val="0"/>
        <w:spacing w:beforeAutospacing="0" w:line="500" w:lineRule="exact"/>
        <w:ind w:left="0" w:right="0"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3.对未列入“小微企业名录”小微企业</w:t>
      </w:r>
      <w:r>
        <w:rPr>
          <w:rFonts w:hint="eastAsia" w:ascii="CESI仿宋-GB2312" w:hAnsi="CESI仿宋-GB2312" w:eastAsia="CESI仿宋-GB2312" w:cs="CESI仿宋-GB2312"/>
          <w:sz w:val="28"/>
          <w:szCs w:val="28"/>
          <w:lang w:eastAsia="zh-CN"/>
        </w:rPr>
        <w:t>供应商</w:t>
      </w:r>
      <w:r>
        <w:rPr>
          <w:rFonts w:hint="eastAsia" w:ascii="CESI仿宋-GB2312" w:hAnsi="CESI仿宋-GB2312" w:eastAsia="CESI仿宋-GB2312" w:cs="CESI仿宋-GB2312"/>
          <w:sz w:val="28"/>
          <w:szCs w:val="28"/>
        </w:rPr>
        <w:t>、核心设备制造商不予价格扣除、对响应文件中未提供截图的不予价格扣除。</w:t>
      </w:r>
    </w:p>
    <w:p>
      <w:pPr>
        <w:pStyle w:val="5"/>
        <w:pageBreakBefore w:val="0"/>
        <w:topLinePunct w:val="0"/>
        <w:bidi w:val="0"/>
        <w:spacing w:beforeAutospacing="0" w:line="500" w:lineRule="exact"/>
        <w:ind w:left="0" w:right="0"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4、提供声明函不实或在政府采购活动中有违法违规行为的，取消其中标资格，并严格按照相关法律法规处理。</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b/>
          <w:bCs/>
          <w:sz w:val="28"/>
          <w:szCs w:val="28"/>
        </w:rPr>
      </w:pPr>
      <w:r>
        <w:rPr>
          <w:rFonts w:hint="eastAsia" w:ascii="CESI仿宋-GB2312" w:hAnsi="CESI仿宋-GB2312" w:eastAsia="CESI仿宋-GB2312" w:cs="CESI仿宋-GB2312"/>
          <w:b/>
          <w:bCs/>
          <w:sz w:val="28"/>
          <w:szCs w:val="28"/>
        </w:rPr>
        <w:t>二、评审标准</w:t>
      </w:r>
    </w:p>
    <w:p>
      <w:pPr>
        <w:pageBreakBefore w:val="0"/>
        <w:topLinePunct w:val="0"/>
        <w:bidi w:val="0"/>
        <w:spacing w:beforeAutospacing="0" w:line="500" w:lineRule="exact"/>
        <w:ind w:left="0" w:right="0"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为了保护政府采购当事人的合法权益，遵循公开透明原则、公平竞争原则、公正原则和诚实信用原则。</w:t>
      </w:r>
    </w:p>
    <w:p>
      <w:pPr>
        <w:pageBreakBefore w:val="0"/>
        <w:topLinePunct w:val="0"/>
        <w:bidi w:val="0"/>
        <w:spacing w:beforeAutospacing="0" w:line="500" w:lineRule="exact"/>
        <w:ind w:left="0" w:right="0"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综合评分法评审标准中的分值设置应当与评审因素的量化指标相对应。磋商文件中没有规定的评审标准不得作为评审依据。</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b/>
          <w:bCs/>
          <w:sz w:val="28"/>
          <w:szCs w:val="28"/>
        </w:rPr>
      </w:pPr>
      <w:r>
        <w:rPr>
          <w:rFonts w:hint="eastAsia" w:ascii="CESI仿宋-GB2312" w:hAnsi="CESI仿宋-GB2312" w:eastAsia="CESI仿宋-GB2312" w:cs="CESI仿宋-GB2312"/>
          <w:b/>
          <w:bCs/>
          <w:sz w:val="28"/>
          <w:szCs w:val="28"/>
        </w:rPr>
        <w:t>三、磋商</w:t>
      </w:r>
    </w:p>
    <w:p>
      <w:pPr>
        <w:pageBreakBefore w:val="0"/>
        <w:topLinePunct w:val="0"/>
        <w:bidi w:val="0"/>
        <w:spacing w:beforeAutospacing="0" w:line="500" w:lineRule="exact"/>
        <w:ind w:left="0" w:right="0"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1、首轮磋商</w:t>
      </w:r>
    </w:p>
    <w:p>
      <w:pPr>
        <w:pageBreakBefore w:val="0"/>
        <w:topLinePunct w:val="0"/>
        <w:bidi w:val="0"/>
        <w:spacing w:beforeAutospacing="0" w:line="500" w:lineRule="exact"/>
        <w:ind w:left="0" w:right="0"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磋商小组对实质性响应文件从技术、服务要求、合同草案条款等方面进行全面比较与评价，了解和掌握各实质性响应供应商的响应程序，做好磋商准备。</w:t>
      </w:r>
    </w:p>
    <w:p>
      <w:pPr>
        <w:pageBreakBefore w:val="0"/>
        <w:topLinePunct w:val="0"/>
        <w:bidi w:val="0"/>
        <w:spacing w:beforeAutospacing="0" w:line="500" w:lineRule="exact"/>
        <w:ind w:left="0" w:right="0"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磋商小组应当通过随机方式确定参加磋商供应商的磋商顺序，磋商小组成员集体从以下几方面与每位实质性响应供应商分别进行单独磋商：</w:t>
      </w:r>
    </w:p>
    <w:p>
      <w:pPr>
        <w:pageBreakBefore w:val="0"/>
        <w:topLinePunct w:val="0"/>
        <w:bidi w:val="0"/>
        <w:spacing w:beforeAutospacing="0" w:line="500" w:lineRule="exact"/>
        <w:ind w:left="0" w:right="0"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（1）竞争性磋商文件中对某些事项规定要求，而响应文件表述不清楚或没有提供熟读资料的事项；</w:t>
      </w:r>
    </w:p>
    <w:p>
      <w:pPr>
        <w:pageBreakBefore w:val="0"/>
        <w:topLinePunct w:val="0"/>
        <w:bidi w:val="0"/>
        <w:spacing w:beforeAutospacing="0" w:line="500" w:lineRule="exact"/>
        <w:ind w:left="0" w:right="0"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（2）竞争性磋商文件中对某些事项有规定要求，而响应文件表述不清楚，造成实质性响应供应商对此项要求模糊不清或理解上有差异的条款或事项；</w:t>
      </w:r>
    </w:p>
    <w:p>
      <w:pPr>
        <w:pageBreakBefore w:val="0"/>
        <w:topLinePunct w:val="0"/>
        <w:bidi w:val="0"/>
        <w:spacing w:beforeAutospacing="0" w:line="500" w:lineRule="exact"/>
        <w:ind w:left="0" w:right="0"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（3）需要质疑、询问供应商的事项；</w:t>
      </w:r>
    </w:p>
    <w:p>
      <w:pPr>
        <w:pageBreakBefore w:val="0"/>
        <w:topLinePunct w:val="0"/>
        <w:bidi w:val="0"/>
        <w:spacing w:beforeAutospacing="0" w:line="500" w:lineRule="exact"/>
        <w:ind w:left="0" w:right="0"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（4）价格的磋商；</w:t>
      </w:r>
    </w:p>
    <w:p>
      <w:pPr>
        <w:pageBreakBefore w:val="0"/>
        <w:topLinePunct w:val="0"/>
        <w:bidi w:val="0"/>
        <w:spacing w:beforeAutospacing="0" w:line="500" w:lineRule="exact"/>
        <w:ind w:left="0" w:right="0"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（5）其它需要磋商的事项。</w:t>
      </w:r>
    </w:p>
    <w:p>
      <w:pPr>
        <w:pageBreakBefore w:val="0"/>
        <w:topLinePunct w:val="0"/>
        <w:bidi w:val="0"/>
        <w:spacing w:beforeAutospacing="0" w:line="500" w:lineRule="exact"/>
        <w:ind w:left="0" w:right="0"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2、竞争性磋商文件和响应文件的澄清或修正</w:t>
      </w:r>
    </w:p>
    <w:p>
      <w:pPr>
        <w:pageBreakBefore w:val="0"/>
        <w:topLinePunct w:val="0"/>
        <w:bidi w:val="0"/>
        <w:spacing w:beforeAutospacing="0" w:line="500" w:lineRule="exact"/>
        <w:ind w:left="0" w:right="0"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根据第一轮磋商掌握的情况，</w:t>
      </w:r>
      <w:r>
        <w:rPr>
          <w:rFonts w:hint="eastAsia" w:ascii="CESI仿宋-GB2312" w:hAnsi="CESI仿宋-GB2312" w:eastAsia="CESI仿宋-GB2312" w:cs="CESI仿宋-GB2312"/>
          <w:sz w:val="28"/>
          <w:szCs w:val="28"/>
          <w:lang w:eastAsia="zh-CN"/>
        </w:rPr>
        <w:t>采购方</w:t>
      </w:r>
      <w:r>
        <w:rPr>
          <w:rFonts w:hint="eastAsia" w:ascii="CESI仿宋-GB2312" w:hAnsi="CESI仿宋-GB2312" w:eastAsia="CESI仿宋-GB2312" w:cs="CESI仿宋-GB2312"/>
          <w:sz w:val="28"/>
          <w:szCs w:val="28"/>
        </w:rPr>
        <w:t>可以对竞争性磋商文件进行澄清或修正，确定采购内容的具体要求，优化采购方案</w:t>
      </w:r>
    </w:p>
    <w:p>
      <w:pPr>
        <w:pageBreakBefore w:val="0"/>
        <w:topLinePunct w:val="0"/>
        <w:bidi w:val="0"/>
        <w:spacing w:beforeAutospacing="0" w:line="500" w:lineRule="exact"/>
        <w:ind w:left="0" w:right="0"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1）除技术、服务要求等方面以外，不得改变竞争性磋商文件其他要求；</w:t>
      </w:r>
    </w:p>
    <w:p>
      <w:pPr>
        <w:pageBreakBefore w:val="0"/>
        <w:topLinePunct w:val="0"/>
        <w:bidi w:val="0"/>
        <w:spacing w:beforeAutospacing="0" w:line="500" w:lineRule="exact"/>
        <w:ind w:left="0" w:right="0"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2）实质性变动是磋商文件有效组成部分，磋商小组应及时以书面形式通知有参加磋商的供应商；</w:t>
      </w:r>
    </w:p>
    <w:p>
      <w:pPr>
        <w:pageBreakBefore w:val="0"/>
        <w:topLinePunct w:val="0"/>
        <w:bidi w:val="0"/>
        <w:spacing w:beforeAutospacing="0" w:line="500" w:lineRule="exact"/>
        <w:ind w:left="0" w:right="0"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3）实质性变动，须经采购人代表确认；</w:t>
      </w:r>
    </w:p>
    <w:p>
      <w:pPr>
        <w:pageBreakBefore w:val="0"/>
        <w:topLinePunct w:val="0"/>
        <w:bidi w:val="0"/>
        <w:spacing w:beforeAutospacing="0" w:line="500" w:lineRule="exact"/>
        <w:ind w:left="0" w:right="0"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4）竞争性磋商文件澄清或修正的事项作为竞争性磋商文件的组成部分，与竞争性磋商文件同具法律效应。</w:t>
      </w:r>
    </w:p>
    <w:p>
      <w:pPr>
        <w:pageBreakBefore w:val="0"/>
        <w:topLinePunct w:val="0"/>
        <w:bidi w:val="0"/>
        <w:spacing w:beforeAutospacing="0" w:line="500" w:lineRule="exact"/>
        <w:ind w:left="0" w:right="0"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实质性响应供应商可以对竞争性磋商文件中对某些事项有规定要求，而响应文件表述不清楚或没有提供相关资料的事项或磋商小组根据竞争性磋商文件有关规定要求澄清或修正的事项进行澄清或修正。</w:t>
      </w:r>
    </w:p>
    <w:p>
      <w:pPr>
        <w:pageBreakBefore w:val="0"/>
        <w:topLinePunct w:val="0"/>
        <w:bidi w:val="0"/>
        <w:spacing w:beforeAutospacing="0" w:line="500" w:lineRule="exact"/>
        <w:ind w:left="0" w:right="0"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实质性响应供应商澄清或修正的事项以书面形式须由法定代表人或其授权人签字确认后密封送交磋商小组，并作为响应文件的组成部分，与响应文件同具法律效应。</w:t>
      </w:r>
    </w:p>
    <w:p>
      <w:pPr>
        <w:pageBreakBefore w:val="0"/>
        <w:topLinePunct w:val="0"/>
        <w:bidi w:val="0"/>
        <w:spacing w:beforeAutospacing="0" w:line="500" w:lineRule="exact"/>
        <w:ind w:left="0" w:right="0"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3、第二轮磋商</w:t>
      </w:r>
    </w:p>
    <w:p>
      <w:pPr>
        <w:pageBreakBefore w:val="0"/>
        <w:topLinePunct w:val="0"/>
        <w:bidi w:val="0"/>
        <w:spacing w:beforeAutospacing="0" w:line="500" w:lineRule="exact"/>
        <w:ind w:left="0" w:right="0"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（1）磋商文件能够详细列明采购标的技术、服务要求的，磋商结束后，磋商小组应当要求所有实质性响应的供应商在规定时间内提交最后的报价，提交最后报价的供应商不得少于3家。</w:t>
      </w:r>
    </w:p>
    <w:p>
      <w:pPr>
        <w:pageBreakBefore w:val="0"/>
        <w:topLinePunct w:val="0"/>
        <w:bidi w:val="0"/>
        <w:spacing w:beforeAutospacing="0" w:line="500" w:lineRule="exact"/>
        <w:ind w:left="0" w:right="0"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（2）已提交响应文件的供应商，在提交最后报价之前，可以根据磋商情况退出磋商。</w:t>
      </w:r>
    </w:p>
    <w:p>
      <w:pPr>
        <w:pageBreakBefore w:val="0"/>
        <w:topLinePunct w:val="0"/>
        <w:bidi w:val="0"/>
        <w:spacing w:beforeAutospacing="0" w:line="500" w:lineRule="exact"/>
        <w:ind w:left="0" w:right="0"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4、最终报价</w:t>
      </w:r>
    </w:p>
    <w:p>
      <w:pPr>
        <w:pageBreakBefore w:val="0"/>
        <w:topLinePunct w:val="0"/>
        <w:bidi w:val="0"/>
        <w:spacing w:beforeAutospacing="0" w:line="500" w:lineRule="exact"/>
        <w:ind w:left="0" w:right="0"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最终报价以书面形式须由法定代表人或其授权人签字确认后，在规定的时间内密封送交磋商小组。待所有实质性响应供应商最终报价交齐后，工作人员统一拆封、公布每位实质性响应供应商的最终价格。最终报价逾时不交的，可视同供应商自动放弃。</w:t>
      </w:r>
    </w:p>
    <w:p>
      <w:pPr>
        <w:pageBreakBefore w:val="0"/>
        <w:topLinePunct w:val="0"/>
        <w:bidi w:val="0"/>
        <w:spacing w:beforeAutospacing="0" w:line="500" w:lineRule="exact"/>
        <w:ind w:left="0" w:right="0" w:firstLine="562" w:firstLineChars="200"/>
        <w:rPr>
          <w:rFonts w:hint="eastAsia" w:ascii="CESI仿宋-GB2312" w:hAnsi="CESI仿宋-GB2312" w:eastAsia="CESI仿宋-GB2312" w:cs="CESI仿宋-GB2312"/>
          <w:b/>
          <w:bCs/>
          <w:sz w:val="28"/>
          <w:szCs w:val="28"/>
        </w:rPr>
      </w:pPr>
      <w:r>
        <w:rPr>
          <w:rFonts w:hint="eastAsia" w:ascii="CESI仿宋-GB2312" w:hAnsi="CESI仿宋-GB2312" w:eastAsia="CESI仿宋-GB2312" w:cs="CESI仿宋-GB2312"/>
          <w:b/>
          <w:bCs/>
          <w:sz w:val="28"/>
          <w:szCs w:val="28"/>
        </w:rPr>
        <w:t>四、评标办法</w:t>
      </w:r>
    </w:p>
    <w:p>
      <w:pPr>
        <w:pageBreakBefore w:val="0"/>
        <w:topLinePunct w:val="0"/>
        <w:bidi w:val="0"/>
        <w:spacing w:beforeAutospacing="0" w:line="500" w:lineRule="exact"/>
        <w:ind w:left="0" w:right="0"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评审时，磋商小组各成员应当独立对每个有效响应的文件进行评价、打分，然后汇总每个供应商每项评分因素的得分。</w:t>
      </w:r>
    </w:p>
    <w:p>
      <w:pPr>
        <w:pageBreakBefore w:val="0"/>
        <w:widowControl/>
        <w:topLinePunct w:val="0"/>
        <w:bidi w:val="0"/>
        <w:spacing w:beforeAutospacing="0" w:line="500" w:lineRule="exact"/>
        <w:ind w:left="0" w:right="0" w:firstLine="560" w:firstLineChars="200"/>
        <w:jc w:val="left"/>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本次评标采用百分制综合评分法，即价格、商务和技术的权值占总分值的100%。按综合评审后得分由高到低顺序进行排列。得分相同的，按投标报价由低到高顺序排列。得分且投标报价相同的，按技术指标优劣顺序排列。</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1676"/>
        <w:gridCol w:w="5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textAlignment w:val="auto"/>
              <w:rPr>
                <w:rFonts w:hint="default" w:ascii="宋体" w:hAnsi="宋体" w:cs="宋体"/>
                <w:sz w:val="28"/>
                <w:szCs w:val="28"/>
                <w:lang w:val="en-US" w:eastAsia="zh-CN"/>
              </w:rPr>
            </w:pPr>
            <w:r>
              <w:rPr>
                <w:rFonts w:hint="eastAsia" w:ascii="宋体" w:hAnsi="宋体" w:cs="宋体"/>
                <w:kern w:val="0"/>
                <w:sz w:val="28"/>
                <w:szCs w:val="28"/>
                <w:lang w:val="en-US" w:eastAsia="zh-CN"/>
              </w:rPr>
              <w:t>评分原则：</w:t>
            </w:r>
            <w:r>
              <w:rPr>
                <w:rFonts w:hint="eastAsia" w:ascii="宋体" w:hAnsi="宋体" w:cs="宋体"/>
                <w:kern w:val="0"/>
                <w:sz w:val="28"/>
                <w:szCs w:val="28"/>
              </w:rPr>
              <w:t>百分制综合评分法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center"/>
          </w:tcPr>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center"/>
              <w:textAlignment w:val="auto"/>
              <w:rPr>
                <w:rFonts w:hint="eastAsia" w:ascii="宋体" w:hAnsi="宋体" w:cs="宋体"/>
                <w:sz w:val="28"/>
                <w:szCs w:val="28"/>
                <w:lang w:val="en-US" w:eastAsia="zh-CN"/>
              </w:rPr>
            </w:pPr>
          </w:p>
        </w:tc>
        <w:tc>
          <w:tcPr>
            <w:tcW w:w="1676" w:type="dxa"/>
            <w:vAlign w:val="center"/>
          </w:tcPr>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center"/>
              <w:textAlignment w:val="auto"/>
              <w:rPr>
                <w:rFonts w:hint="eastAsia" w:ascii="宋体" w:hAnsi="宋体" w:cs="宋体"/>
                <w:sz w:val="28"/>
                <w:szCs w:val="28"/>
                <w:lang w:val="en-US" w:eastAsia="zh-CN"/>
              </w:rPr>
            </w:pPr>
            <w:r>
              <w:rPr>
                <w:rFonts w:hint="eastAsia" w:ascii="宋体" w:hAnsi="宋体" w:cs="宋体"/>
                <w:sz w:val="28"/>
                <w:szCs w:val="28"/>
                <w:lang w:val="en-US" w:eastAsia="zh-CN"/>
              </w:rPr>
              <w:t>评审因素</w:t>
            </w:r>
          </w:p>
        </w:tc>
        <w:tc>
          <w:tcPr>
            <w:tcW w:w="5824" w:type="dxa"/>
            <w:vAlign w:val="center"/>
          </w:tcPr>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center"/>
              <w:textAlignment w:val="auto"/>
              <w:rPr>
                <w:rFonts w:hint="eastAsia" w:ascii="宋体" w:hAnsi="宋体" w:cs="宋体"/>
                <w:sz w:val="28"/>
                <w:szCs w:val="28"/>
                <w:lang w:val="en-US" w:eastAsia="zh-CN"/>
              </w:rPr>
            </w:pPr>
            <w:r>
              <w:rPr>
                <w:rFonts w:hint="eastAsia" w:ascii="宋体" w:hAnsi="宋体" w:cs="宋体"/>
                <w:sz w:val="28"/>
                <w:szCs w:val="28"/>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center"/>
          </w:tcPr>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left"/>
              <w:textAlignment w:val="auto"/>
              <w:rPr>
                <w:rFonts w:hint="eastAsia" w:ascii="宋体" w:hAnsi="宋体" w:cs="宋体"/>
                <w:sz w:val="28"/>
                <w:szCs w:val="28"/>
                <w:lang w:val="en-US" w:eastAsia="zh-CN"/>
              </w:rPr>
            </w:pPr>
          </w:p>
        </w:tc>
        <w:tc>
          <w:tcPr>
            <w:tcW w:w="1676" w:type="dxa"/>
            <w:vAlign w:val="center"/>
          </w:tcPr>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left"/>
              <w:textAlignment w:val="auto"/>
              <w:rPr>
                <w:rFonts w:hint="default" w:ascii="宋体" w:hAnsi="宋体" w:cs="宋体"/>
                <w:sz w:val="28"/>
                <w:szCs w:val="28"/>
                <w:lang w:val="en-US" w:eastAsia="zh-CN"/>
              </w:rPr>
            </w:pPr>
            <w:r>
              <w:rPr>
                <w:rFonts w:hint="eastAsia" w:ascii="宋体" w:hAnsi="宋体" w:cs="宋体"/>
                <w:sz w:val="28"/>
                <w:szCs w:val="28"/>
                <w:lang w:val="en-US" w:eastAsia="zh-CN"/>
              </w:rPr>
              <w:t>分值构成</w:t>
            </w:r>
          </w:p>
        </w:tc>
        <w:tc>
          <w:tcPr>
            <w:tcW w:w="5824" w:type="dxa"/>
            <w:vAlign w:val="center"/>
          </w:tcPr>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1、报价得分 10.0分</w:t>
            </w:r>
          </w:p>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2、商务部分 30.0分</w:t>
            </w:r>
          </w:p>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3、服务质量部分 10.0分</w:t>
            </w:r>
          </w:p>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4、技术部分 40.0分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center"/>
          </w:tcPr>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left"/>
              <w:textAlignment w:val="auto"/>
              <w:rPr>
                <w:rFonts w:hint="default" w:ascii="宋体" w:hAnsi="宋体" w:cs="宋体"/>
                <w:sz w:val="28"/>
                <w:szCs w:val="28"/>
                <w:lang w:val="en-US" w:eastAsia="zh-CN"/>
              </w:rPr>
            </w:pPr>
            <w:r>
              <w:rPr>
                <w:rFonts w:hint="eastAsia" w:ascii="宋体" w:hAnsi="宋体" w:cs="宋体"/>
                <w:sz w:val="28"/>
                <w:szCs w:val="28"/>
                <w:lang w:val="en-US" w:eastAsia="zh-CN"/>
              </w:rPr>
              <w:t>报价得分</w:t>
            </w:r>
          </w:p>
        </w:tc>
        <w:tc>
          <w:tcPr>
            <w:tcW w:w="1676" w:type="dxa"/>
            <w:vAlign w:val="center"/>
          </w:tcPr>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left"/>
              <w:textAlignment w:val="auto"/>
              <w:rPr>
                <w:rFonts w:hint="default" w:ascii="宋体" w:hAnsi="宋体" w:cs="宋体"/>
                <w:sz w:val="28"/>
                <w:szCs w:val="28"/>
                <w:lang w:val="en-US" w:eastAsia="zh-CN"/>
              </w:rPr>
            </w:pPr>
            <w:r>
              <w:rPr>
                <w:rFonts w:hint="eastAsia" w:ascii="宋体" w:hAnsi="宋体" w:cs="宋体"/>
                <w:sz w:val="28"/>
                <w:szCs w:val="28"/>
                <w:lang w:val="en-US" w:eastAsia="zh-CN"/>
              </w:rPr>
              <w:t>投标报价得分（10分）</w:t>
            </w:r>
          </w:p>
        </w:tc>
        <w:tc>
          <w:tcPr>
            <w:tcW w:w="5824" w:type="dxa"/>
            <w:vAlign w:val="center"/>
          </w:tcPr>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left"/>
              <w:textAlignment w:val="auto"/>
              <w:rPr>
                <w:rFonts w:hint="default" w:ascii="宋体" w:hAnsi="宋体" w:cs="宋体"/>
                <w:sz w:val="28"/>
                <w:szCs w:val="28"/>
                <w:lang w:val="en-US" w:eastAsia="zh-CN"/>
              </w:rPr>
            </w:pPr>
            <w:r>
              <w:rPr>
                <w:rFonts w:hint="eastAsia" w:ascii="宋体" w:hAnsi="宋体" w:cs="宋体"/>
                <w:sz w:val="28"/>
                <w:szCs w:val="28"/>
                <w:lang w:val="en-US" w:eastAsia="zh-CN"/>
              </w:rPr>
              <w:t>商务部分</w:t>
            </w:r>
          </w:p>
        </w:tc>
        <w:tc>
          <w:tcPr>
            <w:tcW w:w="1676" w:type="dxa"/>
            <w:vAlign w:val="center"/>
          </w:tcPr>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left"/>
              <w:textAlignment w:val="auto"/>
              <w:rPr>
                <w:rFonts w:hint="default" w:ascii="宋体" w:hAnsi="宋体" w:cs="宋体"/>
                <w:sz w:val="28"/>
                <w:szCs w:val="28"/>
                <w:lang w:val="en-US" w:eastAsia="zh-CN"/>
              </w:rPr>
            </w:pPr>
            <w:r>
              <w:rPr>
                <w:rFonts w:hint="eastAsia" w:ascii="宋体" w:hAnsi="宋体" w:cs="宋体"/>
                <w:sz w:val="28"/>
                <w:szCs w:val="28"/>
                <w:lang w:val="en-US" w:eastAsia="zh-CN"/>
              </w:rPr>
              <w:t>资质能力（10分）</w:t>
            </w:r>
          </w:p>
        </w:tc>
        <w:tc>
          <w:tcPr>
            <w:tcW w:w="58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投标人具有相应的技术服务资质和完善的管理体系。</w:t>
            </w:r>
          </w:p>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具备加油机管理系统/加油机主板检测能力（通过省级检验检测机构资质认定），得2分，没有不得分。</w:t>
            </w:r>
          </w:p>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具有数据安全服务能力评定资格证书得2分，没有不得分。</w:t>
            </w:r>
          </w:p>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具备中国网络安全审查认证和市场监管大数据中心颁发的信息安全风险评估资质证书，得1分，没有不得分。</w:t>
            </w:r>
          </w:p>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（4）具备中国网络安全审查认证和市场监管大数据中心颁发的安全运维资质证书，得1分。</w:t>
            </w:r>
          </w:p>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（5）具备ISO9001质量管理体系认证证书，得1分。</w:t>
            </w:r>
          </w:p>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（6）具有中国职业健康安全管理体系认证证书，得1分。</w:t>
            </w:r>
          </w:p>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（7）具备服务认证证书，得1分。</w:t>
            </w:r>
          </w:p>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（8）具有企业信用评价AAA级证书，得1分。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left"/>
              <w:textAlignment w:val="auto"/>
              <w:rPr>
                <w:rFonts w:hint="eastAsia" w:ascii="宋体" w:hAnsi="宋体" w:cs="宋体"/>
                <w:sz w:val="28"/>
                <w:szCs w:val="28"/>
                <w:lang w:val="en-US" w:eastAsia="zh-CN"/>
              </w:rPr>
            </w:pPr>
          </w:p>
        </w:tc>
        <w:tc>
          <w:tcPr>
            <w:tcW w:w="1676" w:type="dxa"/>
            <w:vAlign w:val="center"/>
          </w:tcPr>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left"/>
              <w:textAlignment w:val="auto"/>
              <w:rPr>
                <w:rFonts w:hint="default" w:ascii="宋体" w:hAnsi="宋体" w:cs="宋体"/>
                <w:sz w:val="28"/>
                <w:szCs w:val="28"/>
                <w:lang w:val="en-US" w:eastAsia="zh-CN"/>
              </w:rPr>
            </w:pPr>
            <w:r>
              <w:rPr>
                <w:rFonts w:hint="eastAsia" w:ascii="宋体" w:hAnsi="宋体" w:cs="宋体"/>
                <w:sz w:val="28"/>
                <w:szCs w:val="28"/>
                <w:lang w:val="en-US" w:eastAsia="zh-CN"/>
              </w:rPr>
              <w:t>人员团队（10分）</w:t>
            </w:r>
          </w:p>
        </w:tc>
        <w:tc>
          <w:tcPr>
            <w:tcW w:w="58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1、项目团队成员对加油机计量监管工作具备深入理解，且人数不少于20人。项目团队中每有一个质量检验/计量/标准化领域的高级及以上职称，得1分，最高得4分。</w:t>
            </w:r>
          </w:p>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2、项目团队成员具有国家颁发的网络安全/数据安全/安全运维相关资质。</w:t>
            </w:r>
          </w:p>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（1）项目成员具有注册信息安全专业人员资质（CISP）得1分，最高得2分。</w:t>
            </w:r>
          </w:p>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（2）项目团队人员具有数据安全相关资质，最高得2分。</w:t>
            </w:r>
          </w:p>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（3）项目团队人员具有安全运维相关认证证书得1分，最高得2分。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left"/>
              <w:textAlignment w:val="auto"/>
              <w:rPr>
                <w:rFonts w:hint="eastAsia" w:ascii="宋体" w:hAnsi="宋体" w:cs="宋体"/>
                <w:sz w:val="28"/>
                <w:szCs w:val="28"/>
                <w:lang w:val="en-US" w:eastAsia="zh-CN"/>
              </w:rPr>
            </w:pPr>
          </w:p>
        </w:tc>
        <w:tc>
          <w:tcPr>
            <w:tcW w:w="1676" w:type="dxa"/>
            <w:vAlign w:val="center"/>
          </w:tcPr>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left"/>
              <w:textAlignment w:val="auto"/>
              <w:rPr>
                <w:rFonts w:hint="default" w:ascii="宋体" w:hAnsi="宋体" w:cs="宋体"/>
                <w:sz w:val="28"/>
                <w:szCs w:val="28"/>
                <w:lang w:val="en-US" w:eastAsia="zh-CN"/>
              </w:rPr>
            </w:pPr>
            <w:r>
              <w:rPr>
                <w:rFonts w:hint="eastAsia" w:ascii="宋体" w:hAnsi="宋体" w:cs="宋体"/>
                <w:sz w:val="28"/>
                <w:szCs w:val="28"/>
                <w:lang w:val="en-US" w:eastAsia="zh-CN"/>
              </w:rPr>
              <w:t>相关业绩（5分）</w:t>
            </w:r>
          </w:p>
        </w:tc>
        <w:tc>
          <w:tcPr>
            <w:tcW w:w="5824" w:type="dxa"/>
            <w:vAlign w:val="center"/>
          </w:tcPr>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left"/>
              <w:textAlignment w:val="auto"/>
              <w:rPr>
                <w:rFonts w:hint="default" w:ascii="宋体" w:hAnsi="宋体" w:cs="宋体"/>
                <w:sz w:val="28"/>
                <w:szCs w:val="28"/>
                <w:lang w:val="en-US" w:eastAsia="zh-CN"/>
              </w:rPr>
            </w:pPr>
            <w:r>
              <w:rPr>
                <w:rFonts w:hint="default" w:ascii="宋体" w:hAnsi="宋体" w:cs="宋体"/>
                <w:sz w:val="28"/>
                <w:szCs w:val="28"/>
                <w:lang w:val="en-US" w:eastAsia="zh-CN"/>
              </w:rPr>
              <w:t>投标人</w:t>
            </w:r>
            <w:r>
              <w:rPr>
                <w:rFonts w:hint="eastAsia" w:ascii="宋体" w:hAnsi="宋体" w:cs="宋体"/>
                <w:sz w:val="28"/>
                <w:szCs w:val="28"/>
                <w:lang w:val="en-US" w:eastAsia="zh-CN"/>
              </w:rPr>
              <w:t>具有加油站监管平台服务项目业绩</w:t>
            </w:r>
            <w:r>
              <w:rPr>
                <w:rFonts w:hint="default" w:ascii="宋体" w:hAnsi="宋体" w:cs="宋体"/>
                <w:sz w:val="28"/>
                <w:szCs w:val="28"/>
                <w:lang w:val="en-US" w:eastAsia="zh-CN"/>
              </w:rPr>
              <w:t>，提供近</w:t>
            </w:r>
            <w:r>
              <w:rPr>
                <w:rFonts w:hint="eastAsia" w:ascii="宋体" w:hAnsi="宋体" w:cs="宋体"/>
                <w:sz w:val="28"/>
                <w:szCs w:val="28"/>
                <w:lang w:val="en-US" w:eastAsia="zh-CN"/>
              </w:rPr>
              <w:t>1</w:t>
            </w:r>
            <w:r>
              <w:rPr>
                <w:rFonts w:hint="default" w:ascii="宋体" w:hAnsi="宋体" w:cs="宋体"/>
                <w:sz w:val="28"/>
                <w:szCs w:val="28"/>
                <w:lang w:val="en-US" w:eastAsia="zh-CN"/>
              </w:rPr>
              <w:t>年（202</w:t>
            </w:r>
            <w:r>
              <w:rPr>
                <w:rFonts w:hint="eastAsia" w:ascii="宋体" w:hAnsi="宋体" w:cs="宋体"/>
                <w:sz w:val="28"/>
                <w:szCs w:val="28"/>
                <w:lang w:val="en-US" w:eastAsia="zh-CN"/>
              </w:rPr>
              <w:t>3</w:t>
            </w:r>
            <w:r>
              <w:rPr>
                <w:rFonts w:hint="default" w:ascii="宋体" w:hAnsi="宋体" w:cs="宋体"/>
                <w:sz w:val="28"/>
                <w:szCs w:val="28"/>
                <w:lang w:val="en-US" w:eastAsia="zh-CN"/>
              </w:rPr>
              <w:t>年</w:t>
            </w:r>
            <w:r>
              <w:rPr>
                <w:rFonts w:hint="eastAsia" w:ascii="宋体" w:hAnsi="宋体" w:cs="宋体"/>
                <w:sz w:val="28"/>
                <w:szCs w:val="28"/>
                <w:lang w:val="en-US" w:eastAsia="zh-CN"/>
              </w:rPr>
              <w:t>11</w:t>
            </w:r>
            <w:r>
              <w:rPr>
                <w:rFonts w:hint="default" w:ascii="宋体" w:hAnsi="宋体" w:cs="宋体"/>
                <w:sz w:val="28"/>
                <w:szCs w:val="28"/>
                <w:lang w:val="en-US" w:eastAsia="zh-CN"/>
              </w:rPr>
              <w:t>月1日至今，以合同签订时间为准）为市级以上市场监管部门提供</w:t>
            </w:r>
            <w:r>
              <w:rPr>
                <w:rFonts w:hint="eastAsia" w:ascii="宋体" w:hAnsi="宋体" w:cs="宋体"/>
                <w:sz w:val="28"/>
                <w:szCs w:val="28"/>
                <w:lang w:val="en-US" w:eastAsia="zh-CN"/>
              </w:rPr>
              <w:t>类似</w:t>
            </w:r>
            <w:r>
              <w:rPr>
                <w:rFonts w:hint="default" w:ascii="宋体" w:hAnsi="宋体" w:cs="宋体"/>
                <w:sz w:val="28"/>
                <w:szCs w:val="28"/>
                <w:lang w:val="en-US" w:eastAsia="zh-CN"/>
              </w:rPr>
              <w:t>服务的业绩证明，提供一个得</w:t>
            </w:r>
            <w:r>
              <w:rPr>
                <w:rFonts w:hint="eastAsia" w:ascii="宋体" w:hAnsi="宋体" w:cs="宋体"/>
                <w:sz w:val="28"/>
                <w:szCs w:val="28"/>
                <w:lang w:val="en-US" w:eastAsia="zh-CN"/>
              </w:rPr>
              <w:t>5</w:t>
            </w:r>
            <w:r>
              <w:rPr>
                <w:rFonts w:hint="default" w:ascii="宋体" w:hAnsi="宋体" w:cs="宋体"/>
                <w:sz w:val="28"/>
                <w:szCs w:val="28"/>
                <w:lang w:val="en-US" w:eastAsia="zh-CN"/>
              </w:rPr>
              <w:t>分</w:t>
            </w:r>
            <w:r>
              <w:rPr>
                <w:rFonts w:hint="eastAsia" w:ascii="宋体" w:hAnsi="宋体" w:cs="宋体"/>
                <w:sz w:val="28"/>
                <w:szCs w:val="28"/>
                <w:lang w:val="en-US" w:eastAsia="zh-CN"/>
              </w:rPr>
              <w:t>。</w:t>
            </w:r>
            <w:r>
              <w:rPr>
                <w:rFonts w:hint="default" w:ascii="宋体" w:hAnsi="宋体" w:cs="宋体"/>
                <w:sz w:val="28"/>
                <w:szCs w:val="28"/>
                <w:lang w:val="en-US" w:eastAsia="zh-CN"/>
              </w:rPr>
              <w:t>（需提供</w:t>
            </w:r>
            <w:r>
              <w:rPr>
                <w:rFonts w:hint="eastAsia" w:ascii="宋体" w:hAnsi="宋体" w:cs="宋体"/>
                <w:sz w:val="28"/>
                <w:szCs w:val="28"/>
                <w:lang w:val="en-US" w:eastAsia="zh-CN"/>
              </w:rPr>
              <w:t>中标通知书或项目合同扫描件</w:t>
            </w:r>
            <w:r>
              <w:rPr>
                <w:rFonts w:hint="default" w:ascii="宋体" w:hAnsi="宋体" w:cs="宋体"/>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left"/>
              <w:textAlignment w:val="auto"/>
              <w:rPr>
                <w:rFonts w:hint="eastAsia" w:ascii="宋体" w:hAnsi="宋体" w:cs="宋体"/>
                <w:sz w:val="28"/>
                <w:szCs w:val="28"/>
                <w:lang w:val="en-US" w:eastAsia="zh-CN"/>
              </w:rPr>
            </w:pPr>
          </w:p>
        </w:tc>
        <w:tc>
          <w:tcPr>
            <w:tcW w:w="1676" w:type="dxa"/>
            <w:vAlign w:val="center"/>
          </w:tcPr>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left"/>
              <w:textAlignment w:val="auto"/>
              <w:rPr>
                <w:rFonts w:hint="default" w:ascii="宋体" w:hAnsi="宋体" w:cs="宋体"/>
                <w:sz w:val="28"/>
                <w:szCs w:val="28"/>
                <w:lang w:val="en-US" w:eastAsia="zh-CN"/>
              </w:rPr>
            </w:pPr>
            <w:r>
              <w:rPr>
                <w:rFonts w:hint="eastAsia" w:ascii="宋体" w:hAnsi="宋体" w:cs="宋体"/>
                <w:sz w:val="28"/>
                <w:szCs w:val="28"/>
                <w:lang w:val="en-US" w:eastAsia="zh-CN"/>
              </w:rPr>
              <w:t>业务上线周期承诺（5分）</w:t>
            </w:r>
          </w:p>
        </w:tc>
        <w:tc>
          <w:tcPr>
            <w:tcW w:w="5824" w:type="dxa"/>
            <w:vAlign w:val="center"/>
          </w:tcPr>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承诺合同签署后，系统上线≤30天得5分，30天＜系统上线≤60天得3分，系统上线＞60天得1分。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left"/>
              <w:textAlignment w:val="auto"/>
              <w:rPr>
                <w:rFonts w:hint="default" w:ascii="宋体" w:hAnsi="宋体" w:cs="宋体"/>
                <w:sz w:val="28"/>
                <w:szCs w:val="28"/>
                <w:lang w:val="en-US" w:eastAsia="zh-CN"/>
              </w:rPr>
            </w:pPr>
            <w:r>
              <w:rPr>
                <w:rFonts w:hint="eastAsia" w:ascii="宋体" w:hAnsi="宋体" w:cs="宋体"/>
                <w:sz w:val="28"/>
                <w:szCs w:val="28"/>
                <w:lang w:val="en-US" w:eastAsia="zh-CN"/>
              </w:rPr>
              <w:t>服务质量</w:t>
            </w:r>
          </w:p>
        </w:tc>
        <w:tc>
          <w:tcPr>
            <w:tcW w:w="167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项目质量与保密（5分）</w:t>
            </w:r>
          </w:p>
        </w:tc>
        <w:tc>
          <w:tcPr>
            <w:tcW w:w="58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投标方承诺的保密措施完全符合招标文件要求，且有详细可行的质量保障体系，得5分；</w:t>
            </w:r>
          </w:p>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投标方承诺的保密措施基本符合招标文件要求，质量保障体系较为可行，得3-4分；</w:t>
            </w:r>
          </w:p>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投标方承诺的保密措施部分符合招标文件要求，质量保障体系有待完善，得1-2分；</w:t>
            </w:r>
          </w:p>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投标方承诺的保密措施不符合招标文件要求或未提供质量保障体系，得0分。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left"/>
              <w:textAlignment w:val="auto"/>
              <w:rPr>
                <w:rFonts w:hint="eastAsia" w:ascii="宋体" w:hAnsi="宋体" w:cs="宋体"/>
                <w:sz w:val="28"/>
                <w:szCs w:val="28"/>
                <w:lang w:val="en-US" w:eastAsia="zh-CN"/>
              </w:rPr>
            </w:pPr>
          </w:p>
        </w:tc>
        <w:tc>
          <w:tcPr>
            <w:tcW w:w="167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项目管理（5分）</w:t>
            </w:r>
          </w:p>
        </w:tc>
        <w:tc>
          <w:tcPr>
            <w:tcW w:w="58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项目管理体系完善，管理流程清晰，时间进度满足项目需求，人员配备合理且具有丰富的项目管理经验，得5分；</w:t>
            </w:r>
          </w:p>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项目管理体系基本完善，管理流程较为清晰，时间进度基本满足项目需求，人员配备基本合理，有一定的项目管理经验，得3-4分；</w:t>
            </w:r>
          </w:p>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项目管理体系不健全，管理流程混乱，项目时间进度不满足项目需求，人员配备不合理，缺乏项目管理经验，得0-1分。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left"/>
              <w:textAlignment w:val="auto"/>
              <w:rPr>
                <w:rFonts w:hint="default" w:ascii="宋体" w:hAnsi="宋体" w:cs="宋体"/>
                <w:sz w:val="28"/>
                <w:szCs w:val="28"/>
                <w:lang w:val="en-US" w:eastAsia="zh-CN"/>
              </w:rPr>
            </w:pPr>
            <w:r>
              <w:rPr>
                <w:rFonts w:hint="eastAsia" w:ascii="宋体" w:hAnsi="宋体" w:cs="宋体"/>
                <w:sz w:val="28"/>
                <w:szCs w:val="28"/>
                <w:lang w:val="en-US" w:eastAsia="zh-CN"/>
              </w:rPr>
              <w:t>技术部分（40分）</w:t>
            </w:r>
          </w:p>
        </w:tc>
        <w:tc>
          <w:tcPr>
            <w:tcW w:w="167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满足招标文件技术要求程度 (20分)</w:t>
            </w:r>
          </w:p>
        </w:tc>
        <w:tc>
          <w:tcPr>
            <w:tcW w:w="58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完全满足招标文件中的所有服务要求，没有遗漏或偏离，得18-20分；</w:t>
            </w:r>
          </w:p>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基本满足招标文件中的技术要求，但存在非关键性遗漏或轻微偏离，得12-17分；</w:t>
            </w:r>
          </w:p>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部分满足招标文件中的技术要求，存在关键性遗漏或明显偏离，得6-11分；</w:t>
            </w:r>
          </w:p>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完全不满足招标文件中的技术要求或存在重大遗漏、严重偏离，得0-5分。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vAlign w:val="center"/>
          </w:tcPr>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left"/>
              <w:textAlignment w:val="auto"/>
              <w:rPr>
                <w:rFonts w:hint="eastAsia" w:ascii="宋体" w:hAnsi="宋体" w:cs="宋体"/>
                <w:sz w:val="28"/>
                <w:szCs w:val="28"/>
                <w:lang w:val="en-US" w:eastAsia="zh-CN"/>
              </w:rPr>
            </w:pPr>
          </w:p>
        </w:tc>
        <w:tc>
          <w:tcPr>
            <w:tcW w:w="167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技术方案(20分)</w:t>
            </w:r>
          </w:p>
        </w:tc>
        <w:tc>
          <w:tcPr>
            <w:tcW w:w="58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技术方案完全符合国家相关法律法规及标准的要求，能够高效解决项目中的关键技术问题，且具有显著的技术优势，得18-20分；</w:t>
            </w:r>
          </w:p>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技术方案基本满足国家相关法律法规及标准的要求，能够解决项目中的主要技术问题，技术优势一般，得12-17分；</w:t>
            </w:r>
          </w:p>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技术方案部分符合国家相关法律法规及标准的要求，能够基本满足项目技术需求，但无明显技术优势，得6-11分；</w:t>
            </w:r>
          </w:p>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right="0" w:firstLine="0" w:firstLineChars="0"/>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技术方案不符合国家相关法律法规及标准的要求，无法解决项目关键技术问题，得0-5分。</w:t>
            </w:r>
          </w:p>
        </w:tc>
      </w:tr>
    </w:tbl>
    <w:p>
      <w:pPr>
        <w:pageBreakBefore w:val="0"/>
        <w:widowControl/>
        <w:topLinePunct w:val="0"/>
        <w:bidi w:val="0"/>
        <w:spacing w:beforeAutospacing="0" w:line="500" w:lineRule="exact"/>
        <w:ind w:left="0" w:right="0" w:firstLine="560" w:firstLineChars="200"/>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按得分从高到低排序，前两名作为成交候选人推荐给采购人，成交人由采购人依法确定。</w:t>
      </w:r>
      <w:bookmarkEnd w:id="71"/>
    </w:p>
    <w:p>
      <w:pPr>
        <w:pStyle w:val="8"/>
        <w:pageBreakBefore w:val="0"/>
        <w:topLinePunct w:val="0"/>
        <w:bidi w:val="0"/>
        <w:spacing w:beforeAutospacing="0" w:after="0" w:line="500" w:lineRule="exact"/>
        <w:ind w:left="0" w:leftChars="0" w:right="0" w:firstLine="562" w:firstLineChars="200"/>
        <w:rPr>
          <w:rFonts w:hint="eastAsia" w:ascii="CESI仿宋-GB2312" w:hAnsi="CESI仿宋-GB2312" w:eastAsia="CESI仿宋-GB2312" w:cs="CESI仿宋-GB2312"/>
          <w:b/>
          <w:color w:val="000000"/>
          <w:sz w:val="28"/>
          <w:szCs w:val="28"/>
        </w:rPr>
      </w:pPr>
      <w:bookmarkStart w:id="72" w:name="_Toc414628835"/>
    </w:p>
    <w:p>
      <w:pPr>
        <w:pStyle w:val="12"/>
        <w:ind w:firstLine="602" w:firstLineChars="200"/>
        <w:rPr>
          <w:rFonts w:hint="eastAsia" w:ascii="宋体" w:hAnsi="宋体" w:eastAsia="宋体" w:cs="宋体"/>
          <w:sz w:val="30"/>
          <w:szCs w:val="30"/>
        </w:rPr>
      </w:pPr>
      <w:bookmarkStart w:id="73" w:name="_Toc28639"/>
      <w:bookmarkStart w:id="74" w:name="_Toc14216"/>
      <w:bookmarkStart w:id="75" w:name="_Toc23959"/>
    </w:p>
    <w:p>
      <w:pPr>
        <w:pStyle w:val="12"/>
        <w:ind w:firstLine="602" w:firstLineChars="200"/>
        <w:rPr>
          <w:rFonts w:hint="eastAsia" w:ascii="宋体" w:hAnsi="宋体" w:eastAsia="宋体" w:cs="宋体"/>
          <w:sz w:val="30"/>
          <w:szCs w:val="30"/>
        </w:rPr>
      </w:pPr>
      <w:r>
        <w:rPr>
          <w:rFonts w:hint="eastAsia" w:ascii="宋体" w:hAnsi="宋体" w:eastAsia="宋体" w:cs="宋体"/>
          <w:sz w:val="30"/>
          <w:szCs w:val="30"/>
        </w:rPr>
        <w:t>第六章响应文件格式</w:t>
      </w:r>
      <w:bookmarkEnd w:id="45"/>
      <w:r>
        <w:rPr>
          <w:rFonts w:hint="eastAsia" w:ascii="宋体" w:hAnsi="宋体" w:eastAsia="宋体" w:cs="宋体"/>
          <w:sz w:val="30"/>
          <w:szCs w:val="30"/>
        </w:rPr>
        <w:t>与要求</w:t>
      </w:r>
      <w:bookmarkEnd w:id="72"/>
      <w:bookmarkEnd w:id="73"/>
      <w:bookmarkEnd w:id="74"/>
      <w:bookmarkEnd w:id="75"/>
    </w:p>
    <w:p>
      <w:pPr>
        <w:keepNext/>
        <w:keepLines/>
        <w:spacing w:line="520" w:lineRule="exact"/>
        <w:rPr>
          <w:rFonts w:hint="eastAsia" w:ascii="宋体" w:hAnsi="宋体" w:cs="宋体"/>
          <w:b/>
          <w:sz w:val="28"/>
          <w:szCs w:val="28"/>
        </w:rPr>
      </w:pPr>
    </w:p>
    <w:p>
      <w:pPr>
        <w:keepNext/>
        <w:keepLines/>
        <w:spacing w:line="520" w:lineRule="exact"/>
        <w:rPr>
          <w:rFonts w:hint="eastAsia" w:ascii="宋体" w:hAnsi="宋体" w:cs="宋体"/>
          <w:b/>
          <w:sz w:val="36"/>
          <w:szCs w:val="36"/>
        </w:rPr>
      </w:pPr>
      <w:r>
        <w:rPr>
          <w:rFonts w:hint="eastAsia" w:ascii="宋体" w:hAnsi="宋体" w:cs="宋体"/>
          <w:b/>
          <w:sz w:val="28"/>
          <w:szCs w:val="28"/>
        </w:rPr>
        <w:t>格式一：</w:t>
      </w:r>
      <w:r>
        <w:rPr>
          <w:rFonts w:hint="eastAsia" w:ascii="宋体" w:hAnsi="宋体" w:cs="宋体"/>
          <w:b/>
          <w:sz w:val="36"/>
          <w:szCs w:val="36"/>
        </w:rPr>
        <w:tab/>
      </w:r>
    </w:p>
    <w:p>
      <w:pPr>
        <w:spacing w:line="520" w:lineRule="exact"/>
        <w:jc w:val="center"/>
        <w:rPr>
          <w:rFonts w:hint="eastAsia" w:ascii="宋体" w:hAnsi="宋体" w:cs="宋体"/>
          <w:b/>
          <w:sz w:val="30"/>
          <w:szCs w:val="30"/>
        </w:rPr>
      </w:pPr>
    </w:p>
    <w:p>
      <w:pPr>
        <w:spacing w:line="520" w:lineRule="exact"/>
        <w:jc w:val="center"/>
        <w:rPr>
          <w:rFonts w:hint="eastAsia" w:ascii="宋体" w:hAnsi="宋体" w:cs="宋体"/>
          <w:b/>
          <w:sz w:val="30"/>
          <w:szCs w:val="30"/>
        </w:rPr>
      </w:pPr>
    </w:p>
    <w:p>
      <w:pPr>
        <w:spacing w:line="520" w:lineRule="exact"/>
        <w:jc w:val="center"/>
        <w:rPr>
          <w:rFonts w:hint="eastAsia" w:ascii="宋体" w:hAnsi="宋体" w:cs="宋体"/>
          <w:b/>
          <w:sz w:val="30"/>
          <w:szCs w:val="30"/>
        </w:rPr>
      </w:pPr>
    </w:p>
    <w:p>
      <w:pPr>
        <w:spacing w:line="520" w:lineRule="exact"/>
        <w:jc w:val="center"/>
        <w:rPr>
          <w:rFonts w:hint="eastAsia" w:ascii="宋体" w:hAnsi="宋体" w:cs="宋体"/>
          <w:b/>
          <w:sz w:val="30"/>
          <w:szCs w:val="30"/>
        </w:rPr>
      </w:pPr>
      <w:r>
        <w:rPr>
          <w:rFonts w:hint="eastAsia" w:ascii="宋体" w:hAnsi="宋体" w:cs="宋体"/>
          <w:b/>
          <w:sz w:val="30"/>
          <w:szCs w:val="30"/>
        </w:rPr>
        <w:t>响应文件封面</w:t>
      </w:r>
    </w:p>
    <w:p>
      <w:pPr>
        <w:spacing w:line="520" w:lineRule="exact"/>
        <w:jc w:val="center"/>
        <w:rPr>
          <w:rFonts w:hint="eastAsia" w:ascii="宋体" w:hAnsi="宋体" w:cs="宋体"/>
          <w:b/>
          <w:kern w:val="0"/>
          <w:sz w:val="30"/>
          <w:szCs w:val="30"/>
        </w:rPr>
      </w:pPr>
    </w:p>
    <w:p>
      <w:pPr>
        <w:spacing w:line="520" w:lineRule="exact"/>
        <w:jc w:val="center"/>
        <w:rPr>
          <w:rFonts w:hint="eastAsia" w:ascii="宋体" w:hAnsi="宋体" w:cs="宋体"/>
          <w:b/>
          <w:kern w:val="0"/>
          <w:sz w:val="30"/>
          <w:szCs w:val="30"/>
        </w:rPr>
      </w:pPr>
      <w:r>
        <w:rPr>
          <w:rFonts w:hint="eastAsia" w:ascii="宋体" w:hAnsi="宋体" w:cs="宋体"/>
          <w:b/>
          <w:kern w:val="0"/>
          <w:sz w:val="30"/>
          <w:szCs w:val="30"/>
        </w:rPr>
        <w:t>（项目名称）响应文件</w:t>
      </w:r>
    </w:p>
    <w:p>
      <w:pPr>
        <w:spacing w:line="520" w:lineRule="exact"/>
        <w:jc w:val="center"/>
        <w:rPr>
          <w:rFonts w:hint="eastAsia" w:ascii="宋体" w:hAnsi="宋体" w:cs="宋体"/>
          <w:sz w:val="24"/>
        </w:rPr>
      </w:pPr>
    </w:p>
    <w:p>
      <w:pPr>
        <w:spacing w:line="520" w:lineRule="exact"/>
        <w:jc w:val="center"/>
        <w:rPr>
          <w:rFonts w:hint="eastAsia" w:ascii="宋体" w:hAnsi="宋体" w:cs="宋体"/>
          <w:b/>
          <w:kern w:val="0"/>
          <w:sz w:val="28"/>
          <w:szCs w:val="28"/>
        </w:rPr>
      </w:pPr>
      <w:r>
        <w:rPr>
          <w:rFonts w:hint="eastAsia" w:ascii="宋体" w:hAnsi="宋体" w:cs="宋体"/>
          <w:b/>
          <w:sz w:val="28"/>
          <w:szCs w:val="28"/>
        </w:rPr>
        <w:t>（正本/副本）</w:t>
      </w:r>
    </w:p>
    <w:p>
      <w:pPr>
        <w:adjustRightInd w:val="0"/>
        <w:spacing w:line="520" w:lineRule="exact"/>
        <w:ind w:right="57"/>
        <w:rPr>
          <w:rFonts w:hint="eastAsia" w:ascii="宋体" w:hAnsi="宋体" w:cs="宋体"/>
          <w:sz w:val="24"/>
        </w:rPr>
      </w:pPr>
    </w:p>
    <w:p>
      <w:pPr>
        <w:adjustRightInd w:val="0"/>
        <w:spacing w:line="520" w:lineRule="exact"/>
        <w:ind w:right="57"/>
        <w:rPr>
          <w:rFonts w:hint="eastAsia" w:ascii="宋体" w:hAnsi="宋体" w:cs="宋体" w:eastAsiaTheme="minorEastAsia"/>
          <w:b/>
          <w:bCs/>
          <w:sz w:val="28"/>
          <w:szCs w:val="28"/>
          <w:lang w:eastAsia="zh-CN"/>
        </w:rPr>
      </w:pPr>
    </w:p>
    <w:p>
      <w:pPr>
        <w:adjustRightInd w:val="0"/>
        <w:spacing w:line="520" w:lineRule="exact"/>
        <w:ind w:right="57" w:firstLine="1521" w:firstLineChars="541"/>
        <w:rPr>
          <w:rFonts w:hint="eastAsia" w:ascii="宋体" w:hAnsi="宋体" w:cs="宋体"/>
          <w:b/>
          <w:bCs/>
          <w:sz w:val="28"/>
          <w:szCs w:val="28"/>
        </w:rPr>
      </w:pPr>
      <w:r>
        <w:rPr>
          <w:rFonts w:hint="eastAsia" w:ascii="宋体" w:hAnsi="宋体" w:cs="宋体"/>
          <w:b/>
          <w:bCs/>
          <w:sz w:val="28"/>
          <w:szCs w:val="28"/>
        </w:rPr>
        <w:t>项目编号：</w:t>
      </w:r>
    </w:p>
    <w:p>
      <w:pPr>
        <w:spacing w:line="520" w:lineRule="exact"/>
        <w:ind w:firstLine="560" w:firstLineChars="200"/>
        <w:rPr>
          <w:rFonts w:hint="eastAsia" w:ascii="宋体" w:hAnsi="宋体" w:cs="宋体"/>
          <w:sz w:val="28"/>
          <w:szCs w:val="28"/>
        </w:rPr>
      </w:pPr>
    </w:p>
    <w:p>
      <w:pPr>
        <w:spacing w:line="520" w:lineRule="exact"/>
        <w:rPr>
          <w:rFonts w:hint="eastAsia" w:ascii="宋体" w:hAnsi="宋体" w:cs="宋体"/>
          <w:sz w:val="28"/>
          <w:szCs w:val="28"/>
        </w:rPr>
      </w:pPr>
    </w:p>
    <w:p>
      <w:pPr>
        <w:spacing w:line="520" w:lineRule="exact"/>
        <w:ind w:firstLine="560" w:firstLineChars="200"/>
        <w:rPr>
          <w:rFonts w:hint="eastAsia" w:ascii="宋体" w:hAnsi="宋体" w:cs="宋体"/>
          <w:sz w:val="28"/>
          <w:szCs w:val="28"/>
        </w:rPr>
      </w:pPr>
    </w:p>
    <w:p>
      <w:pPr>
        <w:spacing w:line="520" w:lineRule="exact"/>
        <w:ind w:firstLine="560" w:firstLineChars="200"/>
        <w:rPr>
          <w:rFonts w:hint="eastAsia" w:ascii="宋体" w:hAnsi="宋体" w:cs="宋体"/>
          <w:sz w:val="28"/>
          <w:szCs w:val="28"/>
        </w:rPr>
      </w:pPr>
    </w:p>
    <w:p>
      <w:pPr>
        <w:spacing w:line="520" w:lineRule="exact"/>
        <w:ind w:firstLine="1521" w:firstLineChars="541"/>
        <w:rPr>
          <w:rFonts w:hint="eastAsia" w:ascii="宋体" w:hAnsi="宋体" w:cs="宋体"/>
          <w:b/>
          <w:bCs/>
          <w:sz w:val="28"/>
          <w:szCs w:val="28"/>
        </w:rPr>
      </w:pPr>
    </w:p>
    <w:p>
      <w:pPr>
        <w:spacing w:line="520" w:lineRule="exact"/>
        <w:ind w:firstLine="1521" w:firstLineChars="541"/>
        <w:rPr>
          <w:rFonts w:hint="eastAsia" w:ascii="宋体" w:hAnsi="宋体" w:cs="宋体"/>
          <w:b/>
          <w:bCs/>
          <w:sz w:val="28"/>
          <w:szCs w:val="28"/>
        </w:rPr>
      </w:pPr>
      <w:r>
        <w:rPr>
          <w:rFonts w:hint="eastAsia" w:ascii="宋体" w:hAnsi="宋体" w:cs="宋体"/>
          <w:b/>
          <w:bCs/>
          <w:sz w:val="28"/>
          <w:szCs w:val="28"/>
        </w:rPr>
        <w:t>供应商：</w:t>
      </w:r>
    </w:p>
    <w:p>
      <w:pPr>
        <w:spacing w:line="520" w:lineRule="exact"/>
        <w:rPr>
          <w:rFonts w:hint="eastAsia" w:ascii="宋体" w:hAnsi="宋体" w:cs="宋体"/>
          <w:b/>
          <w:bCs/>
          <w:sz w:val="28"/>
          <w:szCs w:val="28"/>
        </w:rPr>
      </w:pPr>
      <w:r>
        <w:rPr>
          <w:rFonts w:hint="eastAsia" w:ascii="宋体" w:hAnsi="宋体" w:cs="宋体"/>
          <w:b/>
          <w:bCs/>
          <w:sz w:val="28"/>
          <w:szCs w:val="28"/>
        </w:rPr>
        <w:t>地址：</w:t>
      </w:r>
    </w:p>
    <w:p>
      <w:pPr>
        <w:spacing w:line="520" w:lineRule="exact"/>
        <w:rPr>
          <w:rFonts w:hint="eastAsia" w:ascii="宋体" w:hAnsi="宋体" w:cs="宋体"/>
          <w:b/>
          <w:bCs/>
          <w:sz w:val="28"/>
          <w:szCs w:val="28"/>
        </w:rPr>
      </w:pPr>
      <w:r>
        <w:rPr>
          <w:rFonts w:hint="eastAsia" w:ascii="宋体" w:hAnsi="宋体" w:cs="宋体"/>
          <w:b/>
          <w:bCs/>
          <w:sz w:val="28"/>
          <w:szCs w:val="28"/>
        </w:rPr>
        <w:t>联系人：</w:t>
      </w:r>
    </w:p>
    <w:p>
      <w:pPr>
        <w:spacing w:line="520" w:lineRule="exact"/>
        <w:rPr>
          <w:rFonts w:hint="eastAsia" w:ascii="宋体" w:hAnsi="宋体" w:cs="宋体"/>
          <w:sz w:val="24"/>
        </w:rPr>
      </w:pPr>
      <w:r>
        <w:rPr>
          <w:rFonts w:hint="eastAsia" w:ascii="宋体" w:hAnsi="宋体" w:cs="宋体"/>
          <w:b/>
          <w:bCs/>
          <w:sz w:val="28"/>
          <w:szCs w:val="28"/>
        </w:rPr>
        <w:t>联系电话：</w:t>
      </w:r>
    </w:p>
    <w:p>
      <w:pPr>
        <w:spacing w:line="520" w:lineRule="exact"/>
        <w:jc w:val="center"/>
        <w:rPr>
          <w:rFonts w:hint="eastAsia" w:ascii="宋体" w:hAnsi="宋体" w:cs="宋体"/>
          <w:b/>
          <w:sz w:val="28"/>
          <w:szCs w:val="28"/>
        </w:rPr>
      </w:pPr>
      <w:r>
        <w:rPr>
          <w:rFonts w:hint="eastAsia" w:ascii="宋体" w:hAnsi="宋体" w:cs="宋体"/>
          <w:b/>
          <w:sz w:val="28"/>
          <w:szCs w:val="28"/>
        </w:rPr>
        <w:t>年月日</w:t>
      </w:r>
    </w:p>
    <w:p>
      <w:pPr>
        <w:spacing w:line="480" w:lineRule="exact"/>
        <w:rPr>
          <w:rFonts w:hint="eastAsia" w:ascii="宋体" w:hAnsi="宋体" w:cs="宋体" w:eastAsiaTheme="minorEastAsia"/>
          <w:bCs/>
          <w:color w:val="FF0000"/>
          <w:kern w:val="0"/>
          <w:sz w:val="24"/>
          <w:lang w:eastAsia="zh-CN"/>
        </w:rPr>
      </w:pPr>
      <w:r>
        <w:rPr>
          <w:rFonts w:hint="eastAsia" w:ascii="宋体" w:hAnsi="宋体" w:cs="宋体"/>
          <w:bCs/>
          <w:kern w:val="0"/>
          <w:sz w:val="28"/>
          <w:szCs w:val="28"/>
        </w:rPr>
        <w:br w:type="page"/>
      </w:r>
      <w:r>
        <w:rPr>
          <w:rFonts w:hint="eastAsia" w:ascii="宋体" w:hAnsi="宋体" w:cs="宋体"/>
          <w:bCs/>
          <w:kern w:val="0"/>
          <w:sz w:val="24"/>
        </w:rPr>
        <w:t>格式一：</w:t>
      </w:r>
    </w:p>
    <w:p>
      <w:pPr>
        <w:spacing w:line="480" w:lineRule="exact"/>
        <w:jc w:val="center"/>
        <w:rPr>
          <w:rFonts w:hint="eastAsia" w:ascii="宋体" w:hAnsi="宋体" w:cs="宋体"/>
          <w:b/>
          <w:sz w:val="32"/>
          <w:szCs w:val="32"/>
        </w:rPr>
      </w:pPr>
      <w:r>
        <w:rPr>
          <w:rFonts w:hint="eastAsia" w:ascii="宋体" w:hAnsi="宋体" w:cs="宋体"/>
          <w:b/>
          <w:sz w:val="32"/>
          <w:szCs w:val="32"/>
        </w:rPr>
        <w:t>响应文件目录</w:t>
      </w:r>
    </w:p>
    <w:p>
      <w:pPr>
        <w:spacing w:line="520" w:lineRule="exact"/>
        <w:rPr>
          <w:rFonts w:ascii="宋体" w:hAnsi="宋体" w:cs="宋体"/>
          <w:sz w:val="24"/>
        </w:rPr>
      </w:pPr>
      <w:r>
        <w:rPr>
          <w:rFonts w:hint="eastAsia" w:ascii="宋体" w:hAnsi="宋体" w:cs="宋体"/>
          <w:sz w:val="24"/>
        </w:rPr>
        <w:t>格式自拟</w:t>
      </w:r>
    </w:p>
    <w:p>
      <w:pPr>
        <w:spacing w:line="520" w:lineRule="exact"/>
        <w:rPr>
          <w:rFonts w:hint="eastAsia" w:ascii="宋体" w:hAnsi="宋体" w:cs="宋体"/>
          <w:sz w:val="28"/>
          <w:szCs w:val="28"/>
        </w:rPr>
      </w:pPr>
    </w:p>
    <w:p>
      <w:pPr>
        <w:spacing w:line="520" w:lineRule="exact"/>
        <w:rPr>
          <w:rFonts w:hint="eastAsia" w:ascii="宋体" w:hAnsi="宋体" w:cs="宋体"/>
          <w:sz w:val="28"/>
          <w:szCs w:val="28"/>
        </w:rPr>
      </w:pPr>
    </w:p>
    <w:p>
      <w:pPr>
        <w:spacing w:line="520" w:lineRule="exact"/>
        <w:rPr>
          <w:rFonts w:hint="eastAsia" w:ascii="宋体" w:hAnsi="宋体" w:cs="宋体"/>
          <w:sz w:val="28"/>
          <w:szCs w:val="28"/>
        </w:rPr>
      </w:pPr>
    </w:p>
    <w:p>
      <w:pPr>
        <w:spacing w:line="520" w:lineRule="exact"/>
        <w:rPr>
          <w:rFonts w:hint="eastAsia" w:ascii="宋体" w:hAnsi="宋体" w:cs="宋体"/>
          <w:sz w:val="28"/>
          <w:szCs w:val="28"/>
        </w:rPr>
      </w:pPr>
    </w:p>
    <w:p>
      <w:pPr>
        <w:spacing w:line="520" w:lineRule="exact"/>
        <w:rPr>
          <w:rFonts w:hint="eastAsia" w:ascii="宋体" w:hAnsi="宋体" w:cs="宋体"/>
          <w:sz w:val="28"/>
          <w:szCs w:val="28"/>
        </w:rPr>
      </w:pPr>
    </w:p>
    <w:p>
      <w:pPr>
        <w:spacing w:line="520" w:lineRule="exact"/>
        <w:rPr>
          <w:rFonts w:hint="eastAsia" w:ascii="宋体" w:hAnsi="宋体" w:cs="宋体"/>
          <w:sz w:val="28"/>
          <w:szCs w:val="28"/>
        </w:rPr>
      </w:pPr>
    </w:p>
    <w:p>
      <w:pPr>
        <w:spacing w:line="520" w:lineRule="exact"/>
        <w:rPr>
          <w:rFonts w:hint="eastAsia" w:ascii="宋体" w:hAnsi="宋体" w:cs="宋体"/>
          <w:sz w:val="28"/>
          <w:szCs w:val="28"/>
        </w:rPr>
      </w:pPr>
    </w:p>
    <w:p>
      <w:pPr>
        <w:spacing w:line="520" w:lineRule="exact"/>
        <w:rPr>
          <w:rFonts w:hint="eastAsia" w:ascii="宋体" w:hAnsi="宋体" w:cs="宋体"/>
          <w:sz w:val="28"/>
          <w:szCs w:val="28"/>
        </w:rPr>
      </w:pPr>
    </w:p>
    <w:p>
      <w:pPr>
        <w:spacing w:line="520" w:lineRule="exact"/>
        <w:rPr>
          <w:rFonts w:hint="eastAsia" w:ascii="宋体" w:hAnsi="宋体" w:cs="宋体"/>
          <w:sz w:val="28"/>
          <w:szCs w:val="28"/>
        </w:rPr>
      </w:pPr>
    </w:p>
    <w:p>
      <w:pPr>
        <w:spacing w:line="520" w:lineRule="exact"/>
        <w:rPr>
          <w:rFonts w:hint="eastAsia" w:ascii="宋体" w:hAnsi="宋体" w:cs="宋体"/>
          <w:sz w:val="28"/>
          <w:szCs w:val="28"/>
        </w:rPr>
      </w:pPr>
    </w:p>
    <w:p>
      <w:pPr>
        <w:spacing w:line="520" w:lineRule="exact"/>
        <w:rPr>
          <w:rFonts w:hint="eastAsia" w:ascii="宋体" w:hAnsi="宋体" w:cs="宋体"/>
          <w:sz w:val="28"/>
          <w:szCs w:val="28"/>
        </w:rPr>
      </w:pPr>
    </w:p>
    <w:p>
      <w:pPr>
        <w:spacing w:line="520" w:lineRule="exact"/>
        <w:rPr>
          <w:rFonts w:hint="eastAsia" w:ascii="宋体" w:hAnsi="宋体" w:cs="宋体"/>
          <w:sz w:val="28"/>
          <w:szCs w:val="28"/>
        </w:rPr>
      </w:pPr>
    </w:p>
    <w:p>
      <w:pPr>
        <w:spacing w:line="520" w:lineRule="exact"/>
        <w:rPr>
          <w:rFonts w:hint="eastAsia" w:ascii="宋体" w:hAnsi="宋体" w:cs="宋体"/>
          <w:sz w:val="28"/>
          <w:szCs w:val="28"/>
        </w:rPr>
      </w:pPr>
    </w:p>
    <w:p>
      <w:pPr>
        <w:spacing w:line="520" w:lineRule="exact"/>
        <w:rPr>
          <w:rFonts w:hint="eastAsia" w:ascii="宋体" w:hAnsi="宋体" w:cs="宋体"/>
          <w:sz w:val="28"/>
          <w:szCs w:val="28"/>
        </w:rPr>
      </w:pPr>
    </w:p>
    <w:p>
      <w:pPr>
        <w:spacing w:line="520" w:lineRule="exact"/>
        <w:rPr>
          <w:rFonts w:hint="eastAsia" w:ascii="宋体" w:hAnsi="宋体" w:cs="宋体"/>
          <w:sz w:val="28"/>
          <w:szCs w:val="28"/>
        </w:rPr>
      </w:pPr>
    </w:p>
    <w:p>
      <w:pPr>
        <w:spacing w:line="520" w:lineRule="exact"/>
        <w:rPr>
          <w:rFonts w:hint="eastAsia" w:ascii="宋体" w:hAnsi="宋体" w:cs="宋体"/>
          <w:sz w:val="28"/>
          <w:szCs w:val="28"/>
        </w:rPr>
      </w:pPr>
    </w:p>
    <w:p>
      <w:pPr>
        <w:spacing w:line="520" w:lineRule="exact"/>
        <w:rPr>
          <w:rFonts w:hint="eastAsia" w:ascii="宋体" w:hAnsi="宋体" w:cs="宋体"/>
          <w:sz w:val="28"/>
          <w:szCs w:val="28"/>
        </w:rPr>
      </w:pPr>
    </w:p>
    <w:p>
      <w:pPr>
        <w:spacing w:line="520" w:lineRule="exact"/>
        <w:rPr>
          <w:rFonts w:hint="eastAsia" w:ascii="宋体" w:hAnsi="宋体" w:cs="宋体"/>
          <w:sz w:val="28"/>
          <w:szCs w:val="28"/>
        </w:rPr>
      </w:pPr>
    </w:p>
    <w:p>
      <w:pPr>
        <w:spacing w:line="520" w:lineRule="exact"/>
        <w:rPr>
          <w:rFonts w:hint="eastAsia" w:ascii="宋体" w:hAnsi="宋体" w:cs="宋体"/>
          <w:sz w:val="28"/>
          <w:szCs w:val="28"/>
        </w:rPr>
      </w:pPr>
    </w:p>
    <w:p>
      <w:pPr>
        <w:spacing w:line="520" w:lineRule="exact"/>
        <w:rPr>
          <w:rFonts w:hint="eastAsia" w:ascii="宋体" w:hAnsi="宋体" w:cs="宋体"/>
          <w:sz w:val="28"/>
          <w:szCs w:val="28"/>
        </w:rPr>
      </w:pPr>
    </w:p>
    <w:p>
      <w:pPr>
        <w:spacing w:line="520" w:lineRule="exact"/>
        <w:rPr>
          <w:rFonts w:hint="eastAsia" w:ascii="宋体" w:hAnsi="宋体" w:cs="宋体"/>
          <w:sz w:val="28"/>
          <w:szCs w:val="28"/>
        </w:rPr>
      </w:pPr>
    </w:p>
    <w:p>
      <w:pPr>
        <w:spacing w:line="520" w:lineRule="exact"/>
        <w:rPr>
          <w:rFonts w:hint="eastAsia" w:ascii="宋体" w:hAnsi="宋体" w:cs="宋体"/>
          <w:sz w:val="28"/>
          <w:szCs w:val="28"/>
        </w:rPr>
      </w:pPr>
    </w:p>
    <w:p>
      <w:pPr>
        <w:spacing w:line="520" w:lineRule="exact"/>
        <w:rPr>
          <w:rFonts w:hint="eastAsia" w:ascii="宋体" w:hAnsi="宋体" w:cs="宋体"/>
          <w:sz w:val="28"/>
          <w:szCs w:val="28"/>
        </w:rPr>
      </w:pPr>
    </w:p>
    <w:p>
      <w:pPr>
        <w:spacing w:line="520" w:lineRule="exact"/>
        <w:rPr>
          <w:rFonts w:hint="eastAsia" w:ascii="宋体" w:hAnsi="宋体" w:cs="宋体"/>
          <w:sz w:val="32"/>
          <w:szCs w:val="32"/>
        </w:rPr>
      </w:pPr>
      <w:r>
        <w:rPr>
          <w:rFonts w:hint="eastAsia" w:ascii="宋体" w:hAnsi="宋体" w:cs="宋体"/>
          <w:sz w:val="24"/>
        </w:rPr>
        <w:t>格式二：</w:t>
      </w:r>
    </w:p>
    <w:p>
      <w:pPr>
        <w:adjustRightInd w:val="0"/>
        <w:snapToGrid w:val="0"/>
        <w:spacing w:line="360" w:lineRule="auto"/>
        <w:jc w:val="center"/>
        <w:outlineLvl w:val="1"/>
        <w:rPr>
          <w:rFonts w:hint="eastAsia" w:ascii="宋体" w:hAnsi="宋体" w:cs="宋体"/>
          <w:b/>
          <w:sz w:val="28"/>
          <w:szCs w:val="28"/>
        </w:rPr>
      </w:pPr>
      <w:bookmarkStart w:id="76" w:name="_Toc6551"/>
      <w:bookmarkStart w:id="77" w:name="_Toc7869"/>
      <w:bookmarkStart w:id="78" w:name="_Toc21928"/>
      <w:r>
        <w:rPr>
          <w:rFonts w:hint="eastAsia" w:ascii="宋体" w:hAnsi="宋体" w:cs="宋体"/>
          <w:b/>
          <w:sz w:val="32"/>
          <w:szCs w:val="32"/>
        </w:rPr>
        <w:t>一、投标承诺书</w:t>
      </w:r>
      <w:bookmarkEnd w:id="76"/>
      <w:bookmarkEnd w:id="77"/>
      <w:bookmarkEnd w:id="78"/>
    </w:p>
    <w:p>
      <w:pPr>
        <w:spacing w:line="520" w:lineRule="exact"/>
        <w:ind w:firstLine="56" w:firstLineChars="20"/>
        <w:jc w:val="left"/>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val="en-US" w:eastAsia="zh-CN"/>
        </w:rPr>
        <w:t>呼和浩特市市场监督管理局</w:t>
      </w:r>
      <w:r>
        <w:rPr>
          <w:rFonts w:hint="eastAsia" w:ascii="CESI仿宋-GB2312" w:hAnsi="CESI仿宋-GB2312" w:eastAsia="CESI仿宋-GB2312" w:cs="CESI仿宋-GB2312"/>
          <w:sz w:val="28"/>
          <w:szCs w:val="28"/>
        </w:rPr>
        <w:t>：</w:t>
      </w:r>
    </w:p>
    <w:p>
      <w:pPr>
        <w:spacing w:line="520" w:lineRule="exact"/>
        <w:ind w:firstLine="616" w:firstLineChars="220"/>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1.按照已收到的项目编号为的项目的竞争性磋商文件要求，经我公司认真研究投标须知、合同条款、技术规范、资质要求和其它有关要求后，我方愿按上述合同条款、技术规范、资质要求进行投标。我方完全接受本次竞争性磋商文件规定的所有要求，并承诺在成交后履行我方的全部义务。</w:t>
      </w:r>
    </w:p>
    <w:p>
      <w:pPr>
        <w:spacing w:line="520" w:lineRule="exact"/>
        <w:ind w:firstLine="616" w:firstLineChars="220"/>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val="en-US" w:eastAsia="zh-CN"/>
        </w:rPr>
        <w:t>2</w:t>
      </w:r>
      <w:r>
        <w:rPr>
          <w:rFonts w:hint="eastAsia" w:ascii="CESI仿宋-GB2312" w:hAnsi="CESI仿宋-GB2312" w:eastAsia="CESI仿宋-GB2312" w:cs="CESI仿宋-GB2312"/>
          <w:sz w:val="28"/>
          <w:szCs w:val="28"/>
        </w:rPr>
        <w:t>.一旦我方成交，我方保证按采购人要求提供高质量的服务。</w:t>
      </w:r>
    </w:p>
    <w:p>
      <w:pPr>
        <w:spacing w:line="520" w:lineRule="exact"/>
        <w:ind w:firstLine="635" w:firstLineChars="227"/>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val="en-US" w:eastAsia="zh-CN"/>
        </w:rPr>
        <w:t>3</w:t>
      </w:r>
      <w:r>
        <w:rPr>
          <w:rFonts w:hint="eastAsia" w:ascii="CESI仿宋-GB2312" w:hAnsi="CESI仿宋-GB2312" w:eastAsia="CESI仿宋-GB2312" w:cs="CESI仿宋-GB2312"/>
          <w:sz w:val="28"/>
          <w:szCs w:val="28"/>
        </w:rPr>
        <w:t>.我方投标有效期为自开标日起日历日，在此期间内我方的投标如能被接受，我方将受此约束。</w:t>
      </w:r>
    </w:p>
    <w:p>
      <w:pPr>
        <w:spacing w:line="520" w:lineRule="exact"/>
        <w:ind w:firstLine="616" w:firstLineChars="220"/>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val="en-US" w:eastAsia="zh-CN"/>
        </w:rPr>
        <w:t>4</w:t>
      </w:r>
      <w:r>
        <w:rPr>
          <w:rFonts w:hint="eastAsia" w:ascii="CESI仿宋-GB2312" w:hAnsi="CESI仿宋-GB2312" w:eastAsia="CESI仿宋-GB2312" w:cs="CESI仿宋-GB2312"/>
          <w:sz w:val="28"/>
          <w:szCs w:val="28"/>
        </w:rPr>
        <w:t>.我方郑重声明：所提供的响应文件内容全部真实有效。</w:t>
      </w:r>
    </w:p>
    <w:p>
      <w:pPr>
        <w:spacing w:line="520" w:lineRule="exact"/>
        <w:ind w:firstLine="616" w:firstLineChars="220"/>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val="en-US" w:eastAsia="zh-CN"/>
        </w:rPr>
        <w:t>5</w:t>
      </w:r>
      <w:r>
        <w:rPr>
          <w:rFonts w:hint="eastAsia" w:ascii="CESI仿宋-GB2312" w:hAnsi="CESI仿宋-GB2312" w:eastAsia="CESI仿宋-GB2312" w:cs="CESI仿宋-GB2312"/>
          <w:sz w:val="28"/>
          <w:szCs w:val="28"/>
        </w:rPr>
        <w:t>.我方同意提供</w:t>
      </w:r>
      <w:r>
        <w:rPr>
          <w:rFonts w:hint="eastAsia" w:ascii="CESI仿宋-GB2312" w:hAnsi="CESI仿宋-GB2312" w:eastAsia="CESI仿宋-GB2312" w:cs="CESI仿宋-GB2312"/>
          <w:kern w:val="0"/>
          <w:sz w:val="28"/>
          <w:szCs w:val="28"/>
        </w:rPr>
        <w:t>按照贵方</w:t>
      </w:r>
      <w:r>
        <w:rPr>
          <w:rFonts w:hint="eastAsia" w:ascii="CESI仿宋-GB2312" w:hAnsi="CESI仿宋-GB2312" w:eastAsia="CESI仿宋-GB2312" w:cs="CESI仿宋-GB2312"/>
          <w:sz w:val="28"/>
          <w:szCs w:val="28"/>
        </w:rPr>
        <w:t>可能另外要求的与其投标有关的任何数据或资料。除非另外达成协议并生效，否则，成交通知书和本响应文件将构成约束双方合同的组成部分。</w:t>
      </w:r>
    </w:p>
    <w:p>
      <w:pPr>
        <w:spacing w:line="520" w:lineRule="exact"/>
        <w:ind w:firstLine="570"/>
        <w:jc w:val="left"/>
        <w:rPr>
          <w:rFonts w:hint="eastAsia" w:ascii="CESI仿宋-GB2312" w:hAnsi="CESI仿宋-GB2312" w:eastAsia="CESI仿宋-GB2312" w:cs="CESI仿宋-GB2312"/>
          <w:kern w:val="0"/>
          <w:sz w:val="28"/>
          <w:szCs w:val="28"/>
          <w:u w:val="single"/>
        </w:rPr>
      </w:pPr>
      <w:r>
        <w:rPr>
          <w:rFonts w:hint="eastAsia" w:ascii="CESI仿宋-GB2312" w:hAnsi="CESI仿宋-GB2312" w:eastAsia="CESI仿宋-GB2312" w:cs="CESI仿宋-GB2312"/>
          <w:kern w:val="0"/>
          <w:sz w:val="28"/>
          <w:szCs w:val="28"/>
        </w:rPr>
        <w:t>供应商名称：</w:t>
      </w:r>
    </w:p>
    <w:p>
      <w:pPr>
        <w:autoSpaceDE w:val="0"/>
        <w:autoSpaceDN w:val="0"/>
        <w:adjustRightInd w:val="0"/>
        <w:spacing w:line="520" w:lineRule="exact"/>
        <w:ind w:right="246" w:firstLine="840" w:firstLineChars="300"/>
        <w:jc w:val="left"/>
        <w:rPr>
          <w:rFonts w:hint="eastAsia" w:ascii="CESI仿宋-GB2312" w:hAnsi="CESI仿宋-GB2312" w:eastAsia="CESI仿宋-GB2312" w:cs="CESI仿宋-GB2312"/>
          <w:kern w:val="0"/>
          <w:sz w:val="28"/>
          <w:szCs w:val="28"/>
          <w:lang w:eastAsia="zh-CN"/>
        </w:rPr>
      </w:pPr>
      <w:r>
        <w:rPr>
          <w:rFonts w:hint="eastAsia" w:ascii="CESI仿宋-GB2312" w:hAnsi="CESI仿宋-GB2312" w:eastAsia="CESI仿宋-GB2312" w:cs="CESI仿宋-GB2312"/>
          <w:kern w:val="0"/>
          <w:sz w:val="28"/>
          <w:szCs w:val="28"/>
        </w:rPr>
        <w:t>详细地址：</w:t>
      </w:r>
    </w:p>
    <w:p>
      <w:pPr>
        <w:autoSpaceDE w:val="0"/>
        <w:autoSpaceDN w:val="0"/>
        <w:adjustRightInd w:val="0"/>
        <w:spacing w:line="520" w:lineRule="exact"/>
        <w:ind w:right="246" w:firstLine="840" w:firstLineChars="300"/>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邮政编码：</w:t>
      </w:r>
    </w:p>
    <w:p>
      <w:pPr>
        <w:autoSpaceDE w:val="0"/>
        <w:autoSpaceDN w:val="0"/>
        <w:adjustRightInd w:val="0"/>
        <w:spacing w:line="520" w:lineRule="exact"/>
        <w:ind w:right="246" w:firstLine="840" w:firstLineChars="300"/>
        <w:jc w:val="left"/>
        <w:rPr>
          <w:rFonts w:hint="eastAsia" w:ascii="CESI仿宋-GB2312" w:hAnsi="CESI仿宋-GB2312" w:eastAsia="CESI仿宋-GB2312" w:cs="CESI仿宋-GB2312"/>
          <w:kern w:val="0"/>
          <w:sz w:val="28"/>
          <w:szCs w:val="28"/>
          <w:lang w:eastAsia="zh-CN"/>
        </w:rPr>
      </w:pPr>
      <w:r>
        <w:rPr>
          <w:rFonts w:hint="eastAsia" w:ascii="CESI仿宋-GB2312" w:hAnsi="CESI仿宋-GB2312" w:eastAsia="CESI仿宋-GB2312" w:cs="CESI仿宋-GB2312"/>
          <w:kern w:val="0"/>
          <w:sz w:val="28"/>
          <w:szCs w:val="28"/>
        </w:rPr>
        <w:t>电话：</w:t>
      </w:r>
    </w:p>
    <w:p>
      <w:pPr>
        <w:autoSpaceDE w:val="0"/>
        <w:autoSpaceDN w:val="0"/>
        <w:adjustRightInd w:val="0"/>
        <w:spacing w:line="520" w:lineRule="exact"/>
        <w:ind w:right="246" w:firstLine="840" w:firstLineChars="300"/>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供应商开户银行：</w:t>
      </w:r>
    </w:p>
    <w:p>
      <w:pPr>
        <w:autoSpaceDE w:val="0"/>
        <w:autoSpaceDN w:val="0"/>
        <w:adjustRightInd w:val="0"/>
        <w:spacing w:line="520" w:lineRule="exact"/>
        <w:ind w:right="246" w:firstLine="840" w:firstLineChars="300"/>
        <w:jc w:val="left"/>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sz w:val="28"/>
          <w:szCs w:val="28"/>
        </w:rPr>
        <w:t>账号/行号：</w:t>
      </w:r>
    </w:p>
    <w:p>
      <w:pPr>
        <w:adjustRightInd w:val="0"/>
        <w:snapToGrid w:val="0"/>
        <w:spacing w:line="520" w:lineRule="exact"/>
        <w:ind w:firstLine="840" w:firstLineChars="300"/>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供应商法定代表人签字：</w:t>
      </w:r>
    </w:p>
    <w:p>
      <w:pPr>
        <w:adjustRightInd w:val="0"/>
        <w:snapToGrid w:val="0"/>
        <w:spacing w:line="520" w:lineRule="exact"/>
        <w:ind w:firstLine="840" w:firstLineChars="300"/>
        <w:jc w:val="left"/>
        <w:rPr>
          <w:rFonts w:hint="eastAsia" w:ascii="CESI仿宋-GB2312" w:hAnsi="CESI仿宋-GB2312" w:eastAsia="CESI仿宋-GB2312" w:cs="CESI仿宋-GB2312"/>
          <w:sz w:val="28"/>
          <w:szCs w:val="28"/>
          <w:u w:val="single"/>
        </w:rPr>
      </w:pPr>
      <w:r>
        <w:rPr>
          <w:rFonts w:hint="eastAsia" w:ascii="CESI仿宋-GB2312" w:hAnsi="CESI仿宋-GB2312" w:eastAsia="CESI仿宋-GB2312" w:cs="CESI仿宋-GB2312"/>
          <w:sz w:val="28"/>
          <w:szCs w:val="28"/>
        </w:rPr>
        <w:t>供应商法人授权代表签字：</w:t>
      </w:r>
    </w:p>
    <w:p>
      <w:pPr>
        <w:autoSpaceDE w:val="0"/>
        <w:autoSpaceDN w:val="0"/>
        <w:spacing w:line="520" w:lineRule="exact"/>
        <w:ind w:firstLine="5460" w:firstLineChars="1950"/>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供应商名称(公章)：</w:t>
      </w:r>
    </w:p>
    <w:p>
      <w:pPr>
        <w:autoSpaceDE w:val="0"/>
        <w:autoSpaceDN w:val="0"/>
        <w:spacing w:line="520" w:lineRule="exact"/>
        <w:ind w:firstLine="6020" w:firstLineChars="2150"/>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年月日</w:t>
      </w:r>
    </w:p>
    <w:p>
      <w:pPr>
        <w:autoSpaceDE w:val="0"/>
        <w:autoSpaceDN w:val="0"/>
        <w:spacing w:line="450" w:lineRule="exact"/>
        <w:jc w:val="left"/>
        <w:rPr>
          <w:rFonts w:hint="eastAsia" w:ascii="宋体" w:hAnsi="宋体" w:cs="宋体"/>
          <w:sz w:val="24"/>
        </w:rPr>
      </w:pPr>
      <w:r>
        <w:rPr>
          <w:rFonts w:hint="eastAsia" w:ascii="CESI仿宋-GB2312" w:hAnsi="CESI仿宋-GB2312" w:eastAsia="CESI仿宋-GB2312" w:cs="CESI仿宋-GB2312"/>
          <w:sz w:val="28"/>
          <w:szCs w:val="28"/>
        </w:rPr>
        <w:br w:type="page"/>
      </w:r>
      <w:r>
        <w:rPr>
          <w:rFonts w:hint="eastAsia" w:ascii="宋体" w:hAnsi="宋体" w:cs="宋体"/>
          <w:sz w:val="24"/>
        </w:rPr>
        <w:t>格式三：</w:t>
      </w:r>
    </w:p>
    <w:p>
      <w:pPr>
        <w:adjustRightInd w:val="0"/>
        <w:snapToGrid w:val="0"/>
        <w:spacing w:line="360" w:lineRule="auto"/>
        <w:jc w:val="center"/>
        <w:outlineLvl w:val="1"/>
        <w:rPr>
          <w:rFonts w:hint="eastAsia" w:ascii="宋体" w:hAnsi="宋体" w:cs="宋体"/>
          <w:b/>
          <w:sz w:val="32"/>
          <w:szCs w:val="32"/>
        </w:rPr>
      </w:pPr>
      <w:bookmarkStart w:id="79" w:name="_Toc2775"/>
      <w:bookmarkStart w:id="80" w:name="_Toc1649"/>
      <w:bookmarkStart w:id="81" w:name="_Toc14681"/>
      <w:r>
        <w:rPr>
          <w:rFonts w:hint="eastAsia" w:ascii="宋体" w:hAnsi="宋体" w:cs="宋体"/>
          <w:b/>
          <w:sz w:val="32"/>
          <w:szCs w:val="32"/>
        </w:rPr>
        <w:t>二、法定代表人授权委托书</w:t>
      </w:r>
      <w:bookmarkEnd w:id="79"/>
      <w:bookmarkEnd w:id="80"/>
      <w:bookmarkEnd w:id="81"/>
    </w:p>
    <w:p>
      <w:pPr>
        <w:spacing w:line="480" w:lineRule="exact"/>
        <w:ind w:firstLine="840" w:firstLineChars="300"/>
        <w:rPr>
          <w:rFonts w:hint="eastAsia" w:ascii="宋体" w:hAnsi="宋体" w:cs="宋体"/>
          <w:sz w:val="28"/>
        </w:rPr>
      </w:pPr>
    </w:p>
    <w:p>
      <w:pPr>
        <w:pStyle w:val="7"/>
        <w:spacing w:line="600" w:lineRule="exact"/>
        <w:ind w:left="57" w:right="57" w:firstLine="480" w:firstLineChars="200"/>
        <w:rPr>
          <w:rFonts w:hint="eastAsia" w:hAnsi="宋体" w:cs="宋体"/>
          <w:sz w:val="24"/>
          <w:szCs w:val="24"/>
        </w:rPr>
      </w:pPr>
      <w:r>
        <w:rPr>
          <w:rFonts w:hint="eastAsia" w:hAnsi="宋体" w:cs="宋体"/>
          <w:sz w:val="24"/>
          <w:szCs w:val="24"/>
        </w:rPr>
        <w:t>兹委派我单位（姓名）参加贵单位组织的</w:t>
      </w:r>
      <w:r>
        <w:rPr>
          <w:rFonts w:hint="eastAsia" w:hAnsi="宋体" w:cs="宋体"/>
          <w:sz w:val="24"/>
          <w:szCs w:val="24"/>
          <w:u w:val="single"/>
        </w:rPr>
        <w:t>（项目名称）</w:t>
      </w:r>
      <w:r>
        <w:rPr>
          <w:rFonts w:hint="eastAsia" w:hAnsi="宋体" w:cs="宋体"/>
          <w:sz w:val="24"/>
          <w:szCs w:val="24"/>
        </w:rPr>
        <w:t>招标活动（项目编号：），委派人全权代表我单位处理本次投标中的有关事务，并签署全部有关文件、协议及合同。我单位对委托代理人签署内容负全部责任。</w:t>
      </w:r>
    </w:p>
    <w:p>
      <w:pPr>
        <w:pStyle w:val="7"/>
        <w:spacing w:line="600" w:lineRule="exact"/>
        <w:ind w:left="57" w:right="57" w:firstLine="480" w:firstLineChars="200"/>
        <w:rPr>
          <w:rFonts w:hint="eastAsia" w:hAnsi="宋体" w:cs="宋体"/>
          <w:sz w:val="24"/>
          <w:szCs w:val="24"/>
        </w:rPr>
      </w:pPr>
      <w:r>
        <w:rPr>
          <w:rFonts w:hint="eastAsia" w:hAnsi="宋体" w:cs="宋体"/>
          <w:sz w:val="24"/>
          <w:szCs w:val="24"/>
        </w:rPr>
        <w:t>本授权书于签字盖章后生效，在贵单位收到撤消授权的书面通知以前，本授权书一直有效。被授权人签署的所有文件不因授权的撤消而失效。</w:t>
      </w:r>
    </w:p>
    <w:p>
      <w:pPr>
        <w:pStyle w:val="7"/>
        <w:spacing w:line="600" w:lineRule="exact"/>
        <w:ind w:left="57" w:right="57" w:firstLine="480" w:firstLineChars="200"/>
        <w:rPr>
          <w:rFonts w:hint="eastAsia" w:hAnsi="宋体" w:cs="宋体"/>
          <w:sz w:val="24"/>
          <w:szCs w:val="24"/>
        </w:rPr>
      </w:pPr>
      <w:r>
        <w:rPr>
          <w:rFonts w:hint="eastAsia" w:hAnsi="宋体" w:cs="宋体"/>
          <w:sz w:val="24"/>
          <w:szCs w:val="24"/>
        </w:rPr>
        <w:t>委托代理人无转委权。</w:t>
      </w:r>
    </w:p>
    <w:p>
      <w:pPr>
        <w:pStyle w:val="7"/>
        <w:spacing w:line="600" w:lineRule="exact"/>
        <w:ind w:left="57" w:right="57" w:firstLine="480" w:firstLineChars="200"/>
        <w:rPr>
          <w:rFonts w:hint="eastAsia" w:hAnsi="宋体" w:cs="宋体"/>
          <w:sz w:val="24"/>
          <w:szCs w:val="24"/>
        </w:rPr>
      </w:pPr>
      <w:r>
        <w:rPr>
          <w:rFonts w:hint="eastAsia" w:hAnsi="宋体" w:cs="宋体"/>
          <w:sz w:val="24"/>
          <w:szCs w:val="24"/>
        </w:rPr>
        <w:t>特此委托。</w:t>
      </w:r>
    </w:p>
    <w:p>
      <w:pPr>
        <w:spacing w:line="480" w:lineRule="exact"/>
        <w:rPr>
          <w:rFonts w:hint="eastAsia" w:ascii="宋体" w:hAnsi="宋体" w:cs="宋体"/>
          <w:sz w:val="28"/>
          <w:szCs w:val="28"/>
        </w:rPr>
      </w:pPr>
      <w:r>
        <w:rPr>
          <w:rFonts w:hint="eastAsia" w:ascii="宋体" w:hAnsi="宋体" w:cs="宋体"/>
          <w:sz w:val="28"/>
          <w:szCs w:val="28"/>
        </w:rPr>
        <mc:AlternateContent>
          <mc:Choice Requires="wps">
            <w:drawing>
              <wp:anchor distT="0" distB="0" distL="114300" distR="114300" simplePos="0" relativeHeight="251660288" behindDoc="0" locked="0" layoutInCell="1" allowOverlap="1">
                <wp:simplePos x="0" y="0"/>
                <wp:positionH relativeFrom="column">
                  <wp:posOffset>2886710</wp:posOffset>
                </wp:positionH>
                <wp:positionV relativeFrom="paragraph">
                  <wp:posOffset>121920</wp:posOffset>
                </wp:positionV>
                <wp:extent cx="2514600" cy="1905000"/>
                <wp:effectExtent l="4445" t="4445" r="5080" b="5080"/>
                <wp:wrapNone/>
                <wp:docPr id="2" name="文本框 2"/>
                <wp:cNvGraphicFramePr/>
                <a:graphic xmlns:a="http://schemas.openxmlformats.org/drawingml/2006/main">
                  <a:graphicData uri="http://schemas.microsoft.com/office/word/2010/wordprocessingShape">
                    <wps:wsp>
                      <wps:cNvSpPr txBox="1"/>
                      <wps:spPr>
                        <a:xfrm>
                          <a:off x="0" y="0"/>
                          <a:ext cx="25146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hint="eastAsia" w:ascii="黑体" w:eastAsia="黑体"/>
                                <w:sz w:val="28"/>
                                <w:szCs w:val="28"/>
                              </w:rPr>
                            </w:pPr>
                          </w:p>
                          <w:p>
                            <w:pPr>
                              <w:spacing w:line="560" w:lineRule="exact"/>
                              <w:jc w:val="center"/>
                              <w:rPr>
                                <w:rFonts w:hint="eastAsia" w:ascii="黑体" w:eastAsia="黑体"/>
                                <w:sz w:val="28"/>
                                <w:szCs w:val="28"/>
                              </w:rPr>
                            </w:pPr>
                          </w:p>
                          <w:p>
                            <w:pPr>
                              <w:jc w:val="center"/>
                              <w:rPr>
                                <w:rFonts w:hint="eastAsia" w:ascii="黑体" w:eastAsia="黑体"/>
                                <w:sz w:val="32"/>
                                <w:szCs w:val="32"/>
                              </w:rPr>
                            </w:pPr>
                            <w:r>
                              <w:rPr>
                                <w:rFonts w:hint="eastAsia" w:ascii="黑体" w:eastAsia="黑体"/>
                                <w:sz w:val="32"/>
                                <w:szCs w:val="32"/>
                              </w:rPr>
                              <w:t>委托代理人身份证扫描件</w:t>
                            </w:r>
                          </w:p>
                          <w:p>
                            <w:pPr>
                              <w:jc w:val="center"/>
                              <w:rPr>
                                <w:rFonts w:hint="eastAsia" w:ascii="楷体_GB2312" w:eastAsia="楷体_GB2312"/>
                                <w:sz w:val="24"/>
                              </w:rPr>
                            </w:pPr>
                            <w:r>
                              <w:rPr>
                                <w:rFonts w:hint="eastAsia" w:ascii="楷体_GB2312" w:eastAsia="楷体_GB2312"/>
                                <w:sz w:val="24"/>
                              </w:rPr>
                              <w:t>（本证件需直接扫描，不允许粘贴）</w:t>
                            </w:r>
                          </w:p>
                          <w:p>
                            <w:pPr>
                              <w:jc w:val="center"/>
                              <w:rPr>
                                <w:rFonts w:hint="eastAsia" w:ascii="黑体" w:eastAsia="黑体"/>
                                <w:sz w:val="32"/>
                                <w:szCs w:val="32"/>
                              </w:rPr>
                            </w:pPr>
                          </w:p>
                        </w:txbxContent>
                      </wps:txbx>
                      <wps:bodyPr upright="1"/>
                    </wps:wsp>
                  </a:graphicData>
                </a:graphic>
              </wp:anchor>
            </w:drawing>
          </mc:Choice>
          <mc:Fallback>
            <w:pict>
              <v:shape id="_x0000_s1026" o:spid="_x0000_s1026" o:spt="202" type="#_x0000_t202" style="position:absolute;left:0pt;margin-left:227.3pt;margin-top:9.6pt;height:150pt;width:198pt;z-index:251660288;mso-width-relative:page;mso-height-relative:page;" fillcolor="#FFFFFF" filled="t" stroked="t" coordsize="21600,21600" o:gfxdata="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v2xEbYAAAACgEAAA8AAAAAAAAAAQAgAAAA&#10;IgAAAGRycy9kb3ducmV2LnhtbFBLAQIUABQAAAAIAIdO4kD/FSzjCwIAADcEAAAOAAAAAAAAAAEA&#10;IAAAACcBAABkcnMvZTJvRG9jLnhtbFBLBQYAAAAABgAGAFkBAACkBQAAAAA=&#10;">
                <v:fill on="t" focussize="0,0"/>
                <v:stroke color="#000000" joinstyle="miter"/>
                <v:imagedata o:title=""/>
                <o:lock v:ext="edit" aspectratio="f"/>
                <v:textbox>
                  <w:txbxContent>
                    <w:p>
                      <w:pPr>
                        <w:spacing w:line="560" w:lineRule="exact"/>
                        <w:jc w:val="center"/>
                        <w:rPr>
                          <w:rFonts w:hint="eastAsia" w:ascii="黑体" w:eastAsia="黑体"/>
                          <w:sz w:val="28"/>
                          <w:szCs w:val="28"/>
                        </w:rPr>
                      </w:pPr>
                    </w:p>
                    <w:p>
                      <w:pPr>
                        <w:spacing w:line="560" w:lineRule="exact"/>
                        <w:jc w:val="center"/>
                        <w:rPr>
                          <w:rFonts w:hint="eastAsia" w:ascii="黑体" w:eastAsia="黑体"/>
                          <w:sz w:val="28"/>
                          <w:szCs w:val="28"/>
                        </w:rPr>
                      </w:pPr>
                    </w:p>
                    <w:p>
                      <w:pPr>
                        <w:jc w:val="center"/>
                        <w:rPr>
                          <w:rFonts w:hint="eastAsia" w:ascii="黑体" w:eastAsia="黑体"/>
                          <w:sz w:val="32"/>
                          <w:szCs w:val="32"/>
                        </w:rPr>
                      </w:pPr>
                      <w:r>
                        <w:rPr>
                          <w:rFonts w:hint="eastAsia" w:ascii="黑体" w:eastAsia="黑体"/>
                          <w:sz w:val="32"/>
                          <w:szCs w:val="32"/>
                        </w:rPr>
                        <w:t>委托代理人身份证扫描件</w:t>
                      </w:r>
                    </w:p>
                    <w:p>
                      <w:pPr>
                        <w:jc w:val="center"/>
                        <w:rPr>
                          <w:rFonts w:hint="eastAsia" w:ascii="楷体_GB2312" w:eastAsia="楷体_GB2312"/>
                          <w:sz w:val="24"/>
                        </w:rPr>
                      </w:pPr>
                      <w:r>
                        <w:rPr>
                          <w:rFonts w:hint="eastAsia" w:ascii="楷体_GB2312" w:eastAsia="楷体_GB2312"/>
                          <w:sz w:val="24"/>
                        </w:rPr>
                        <w:t>（本证件需直接扫描，不允许粘贴）</w:t>
                      </w:r>
                    </w:p>
                    <w:p>
                      <w:pPr>
                        <w:jc w:val="center"/>
                        <w:rPr>
                          <w:rFonts w:hint="eastAsia" w:ascii="黑体" w:eastAsia="黑体"/>
                          <w:sz w:val="32"/>
                          <w:szCs w:val="32"/>
                        </w:rPr>
                      </w:pPr>
                    </w:p>
                  </w:txbxContent>
                </v:textbox>
              </v:shape>
            </w:pict>
          </mc:Fallback>
        </mc:AlternateContent>
      </w:r>
      <w:r>
        <w:rPr>
          <w:rFonts w:hint="eastAsia" w:ascii="宋体" w:hAnsi="宋体" w:cs="宋体"/>
          <w:sz w:val="28"/>
          <w:szCs w:val="28"/>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121920</wp:posOffset>
                </wp:positionV>
                <wp:extent cx="2628900" cy="1905000"/>
                <wp:effectExtent l="4445" t="4445" r="5080" b="5080"/>
                <wp:wrapNone/>
                <wp:docPr id="1" name="文本框 1"/>
                <wp:cNvGraphicFramePr/>
                <a:graphic xmlns:a="http://schemas.openxmlformats.org/drawingml/2006/main">
                  <a:graphicData uri="http://schemas.microsoft.com/office/word/2010/wordprocessingShape">
                    <wps:wsp>
                      <wps:cNvSpPr txBox="1"/>
                      <wps:spPr>
                        <a:xfrm>
                          <a:off x="0" y="0"/>
                          <a:ext cx="26289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hint="eastAsia" w:ascii="黑体" w:eastAsia="黑体"/>
                                <w:sz w:val="28"/>
                                <w:szCs w:val="28"/>
                              </w:rPr>
                            </w:pPr>
                          </w:p>
                          <w:p>
                            <w:pPr>
                              <w:spacing w:line="560" w:lineRule="exact"/>
                              <w:jc w:val="center"/>
                              <w:rPr>
                                <w:rFonts w:hint="eastAsia" w:ascii="黑体" w:eastAsia="黑体"/>
                                <w:sz w:val="28"/>
                                <w:szCs w:val="28"/>
                              </w:rPr>
                            </w:pPr>
                          </w:p>
                          <w:p>
                            <w:pPr>
                              <w:jc w:val="center"/>
                              <w:rPr>
                                <w:rFonts w:hint="eastAsia" w:ascii="黑体" w:eastAsia="黑体"/>
                                <w:sz w:val="32"/>
                                <w:szCs w:val="32"/>
                              </w:rPr>
                            </w:pPr>
                            <w:r>
                              <w:rPr>
                                <w:rFonts w:hint="eastAsia" w:ascii="黑体" w:eastAsia="黑体"/>
                                <w:sz w:val="32"/>
                                <w:szCs w:val="32"/>
                              </w:rPr>
                              <w:t>法定代表人身份证扫描件</w:t>
                            </w:r>
                          </w:p>
                          <w:p>
                            <w:pPr>
                              <w:jc w:val="center"/>
                              <w:rPr>
                                <w:rFonts w:hint="eastAsia" w:ascii="楷体_GB2312" w:eastAsia="楷体_GB2312"/>
                                <w:sz w:val="24"/>
                              </w:rPr>
                            </w:pPr>
                            <w:r>
                              <w:rPr>
                                <w:rFonts w:hint="eastAsia" w:ascii="楷体_GB2312" w:eastAsia="楷体_GB2312"/>
                                <w:sz w:val="24"/>
                              </w:rPr>
                              <w:t>（本证件需直接扫描，不允许粘贴）</w:t>
                            </w:r>
                          </w:p>
                          <w:p>
                            <w:pPr>
                              <w:jc w:val="center"/>
                              <w:rPr>
                                <w:rFonts w:hint="eastAsia" w:ascii="黑体" w:eastAsia="黑体"/>
                                <w:sz w:val="32"/>
                                <w:szCs w:val="32"/>
                              </w:rPr>
                            </w:pPr>
                          </w:p>
                        </w:txbxContent>
                      </wps:txbx>
                      <wps:bodyPr upright="1"/>
                    </wps:wsp>
                  </a:graphicData>
                </a:graphic>
              </wp:anchor>
            </w:drawing>
          </mc:Choice>
          <mc:Fallback>
            <w:pict>
              <v:shape id="_x0000_s1026" o:spid="_x0000_s1026" o:spt="202" type="#_x0000_t202" style="position:absolute;left:0pt;margin-left:0.95pt;margin-top:9.6pt;height:150pt;width:207pt;z-index:251659264;mso-width-relative:page;mso-height-relative:page;" fillcolor="#FFFFFF" filled="t" stroked="t" coordsize="21600,21600" o:gfxdata="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Bpq9e1AAAAAgBAAAPAAAAAAAAAAEAIAAAACIAAABk&#10;cnMvZG93bnJldi54bWxQSwECFAAUAAAACACHTuJAacLlmgoCAAA3BAAADgAAAAAAAAABACAAAAAj&#10;AQAAZHJzL2Uyb0RvYy54bWxQSwUGAAAAAAYABgBZAQAAnwUAAAAA&#10;">
                <v:fill on="t" focussize="0,0"/>
                <v:stroke color="#000000" joinstyle="miter"/>
                <v:imagedata o:title=""/>
                <o:lock v:ext="edit" aspectratio="f"/>
                <v:textbox>
                  <w:txbxContent>
                    <w:p>
                      <w:pPr>
                        <w:spacing w:line="560" w:lineRule="exact"/>
                        <w:jc w:val="center"/>
                        <w:rPr>
                          <w:rFonts w:hint="eastAsia" w:ascii="黑体" w:eastAsia="黑体"/>
                          <w:sz w:val="28"/>
                          <w:szCs w:val="28"/>
                        </w:rPr>
                      </w:pPr>
                    </w:p>
                    <w:p>
                      <w:pPr>
                        <w:spacing w:line="560" w:lineRule="exact"/>
                        <w:jc w:val="center"/>
                        <w:rPr>
                          <w:rFonts w:hint="eastAsia" w:ascii="黑体" w:eastAsia="黑体"/>
                          <w:sz w:val="28"/>
                          <w:szCs w:val="28"/>
                        </w:rPr>
                      </w:pPr>
                    </w:p>
                    <w:p>
                      <w:pPr>
                        <w:jc w:val="center"/>
                        <w:rPr>
                          <w:rFonts w:hint="eastAsia" w:ascii="黑体" w:eastAsia="黑体"/>
                          <w:sz w:val="32"/>
                          <w:szCs w:val="32"/>
                        </w:rPr>
                      </w:pPr>
                      <w:r>
                        <w:rPr>
                          <w:rFonts w:hint="eastAsia" w:ascii="黑体" w:eastAsia="黑体"/>
                          <w:sz w:val="32"/>
                          <w:szCs w:val="32"/>
                        </w:rPr>
                        <w:t>法定代表人身份证扫描件</w:t>
                      </w:r>
                    </w:p>
                    <w:p>
                      <w:pPr>
                        <w:jc w:val="center"/>
                        <w:rPr>
                          <w:rFonts w:hint="eastAsia" w:ascii="楷体_GB2312" w:eastAsia="楷体_GB2312"/>
                          <w:sz w:val="24"/>
                        </w:rPr>
                      </w:pPr>
                      <w:r>
                        <w:rPr>
                          <w:rFonts w:hint="eastAsia" w:ascii="楷体_GB2312" w:eastAsia="楷体_GB2312"/>
                          <w:sz w:val="24"/>
                        </w:rPr>
                        <w:t>（本证件需直接扫描，不允许粘贴）</w:t>
                      </w:r>
                    </w:p>
                    <w:p>
                      <w:pPr>
                        <w:jc w:val="center"/>
                        <w:rPr>
                          <w:rFonts w:hint="eastAsia" w:ascii="黑体" w:eastAsia="黑体"/>
                          <w:sz w:val="32"/>
                          <w:szCs w:val="32"/>
                        </w:rPr>
                      </w:pPr>
                    </w:p>
                  </w:txbxContent>
                </v:textbox>
              </v:shape>
            </w:pict>
          </mc:Fallback>
        </mc:AlternateContent>
      </w:r>
    </w:p>
    <w:p>
      <w:pPr>
        <w:spacing w:line="480" w:lineRule="exact"/>
        <w:rPr>
          <w:rFonts w:hint="eastAsia" w:ascii="宋体" w:hAnsi="宋体" w:cs="宋体"/>
          <w:sz w:val="28"/>
          <w:szCs w:val="28"/>
        </w:rPr>
      </w:pPr>
    </w:p>
    <w:p>
      <w:pPr>
        <w:spacing w:line="480" w:lineRule="exact"/>
        <w:rPr>
          <w:rFonts w:hint="eastAsia" w:ascii="宋体" w:hAnsi="宋体" w:cs="宋体"/>
          <w:sz w:val="28"/>
          <w:szCs w:val="28"/>
        </w:rPr>
      </w:pPr>
    </w:p>
    <w:p>
      <w:pPr>
        <w:spacing w:line="480" w:lineRule="exact"/>
        <w:rPr>
          <w:rFonts w:hint="eastAsia" w:ascii="宋体" w:hAnsi="宋体" w:cs="宋体"/>
          <w:sz w:val="28"/>
          <w:szCs w:val="28"/>
        </w:rPr>
      </w:pPr>
    </w:p>
    <w:p>
      <w:pPr>
        <w:spacing w:line="480" w:lineRule="exact"/>
        <w:rPr>
          <w:rFonts w:hint="eastAsia" w:ascii="宋体" w:hAnsi="宋体" w:cs="宋体"/>
          <w:sz w:val="28"/>
          <w:szCs w:val="28"/>
        </w:rPr>
      </w:pPr>
    </w:p>
    <w:p>
      <w:pPr>
        <w:spacing w:line="480" w:lineRule="exact"/>
        <w:rPr>
          <w:rFonts w:hint="eastAsia" w:ascii="宋体" w:hAnsi="宋体" w:cs="宋体"/>
          <w:sz w:val="28"/>
          <w:szCs w:val="28"/>
        </w:rPr>
      </w:pPr>
    </w:p>
    <w:p>
      <w:pPr>
        <w:spacing w:line="480" w:lineRule="exact"/>
        <w:rPr>
          <w:rFonts w:hint="eastAsia" w:ascii="宋体" w:hAnsi="宋体" w:cs="宋体"/>
          <w:sz w:val="28"/>
          <w:szCs w:val="28"/>
        </w:rPr>
      </w:pPr>
    </w:p>
    <w:p>
      <w:pPr>
        <w:spacing w:line="480" w:lineRule="exact"/>
        <w:ind w:firstLine="560" w:firstLineChars="200"/>
        <w:rPr>
          <w:rFonts w:hint="eastAsia" w:ascii="宋体" w:hAnsi="宋体" w:cs="宋体"/>
          <w:sz w:val="28"/>
          <w:szCs w:val="28"/>
        </w:rPr>
      </w:pPr>
    </w:p>
    <w:p>
      <w:pPr>
        <w:spacing w:line="480" w:lineRule="exact"/>
        <w:ind w:firstLine="560" w:firstLineChars="200"/>
        <w:rPr>
          <w:rFonts w:hint="eastAsia" w:ascii="宋体" w:hAnsi="宋体" w:cs="宋体"/>
          <w:sz w:val="28"/>
          <w:szCs w:val="28"/>
        </w:rPr>
      </w:pPr>
    </w:p>
    <w:p>
      <w:pPr>
        <w:spacing w:line="480" w:lineRule="exact"/>
        <w:ind w:firstLine="480" w:firstLineChars="200"/>
        <w:rPr>
          <w:rFonts w:hint="eastAsia" w:ascii="宋体" w:hAnsi="宋体" w:cs="宋体"/>
          <w:sz w:val="24"/>
        </w:rPr>
      </w:pPr>
      <w:r>
        <w:rPr>
          <w:rFonts w:hint="eastAsia" w:ascii="宋体" w:hAnsi="宋体" w:cs="宋体"/>
          <w:sz w:val="24"/>
        </w:rPr>
        <w:t>供应商：（公章）</w:t>
      </w:r>
    </w:p>
    <w:p>
      <w:pPr>
        <w:spacing w:line="480" w:lineRule="exact"/>
        <w:rPr>
          <w:rFonts w:hint="eastAsia" w:ascii="宋体" w:hAnsi="宋体" w:cs="宋体"/>
          <w:sz w:val="24"/>
        </w:rPr>
      </w:pPr>
    </w:p>
    <w:p>
      <w:pPr>
        <w:spacing w:line="480" w:lineRule="exact"/>
        <w:ind w:firstLine="480" w:firstLineChars="200"/>
        <w:rPr>
          <w:rFonts w:hint="eastAsia" w:ascii="宋体" w:hAnsi="宋体" w:cs="宋体"/>
          <w:sz w:val="24"/>
        </w:rPr>
      </w:pPr>
      <w:r>
        <w:rPr>
          <w:rFonts w:hint="eastAsia" w:ascii="宋体" w:hAnsi="宋体" w:cs="宋体"/>
          <w:sz w:val="24"/>
        </w:rPr>
        <w:t>法定代表人：（签字）</w:t>
      </w:r>
    </w:p>
    <w:p>
      <w:pPr>
        <w:pStyle w:val="7"/>
        <w:ind w:left="57" w:right="57" w:firstLine="57"/>
        <w:jc w:val="center"/>
        <w:rPr>
          <w:rFonts w:hint="eastAsia" w:hAnsi="宋体" w:cs="宋体"/>
          <w:sz w:val="24"/>
          <w:szCs w:val="24"/>
        </w:rPr>
      </w:pPr>
      <w:r>
        <w:rPr>
          <w:rFonts w:hint="eastAsia" w:hAnsi="宋体" w:cs="宋体"/>
          <w:sz w:val="24"/>
          <w:szCs w:val="24"/>
        </w:rPr>
        <w:t>年月日</w:t>
      </w:r>
    </w:p>
    <w:p>
      <w:pPr>
        <w:pStyle w:val="7"/>
        <w:ind w:left="57" w:right="57" w:firstLine="57"/>
        <w:jc w:val="left"/>
        <w:rPr>
          <w:rFonts w:hint="eastAsia" w:hAnsi="宋体" w:cs="宋体"/>
          <w:b/>
          <w:sz w:val="24"/>
          <w:szCs w:val="24"/>
        </w:rPr>
      </w:pPr>
      <w:r>
        <w:rPr>
          <w:rFonts w:hint="eastAsia" w:hAnsi="宋体" w:cs="宋体"/>
          <w:b/>
          <w:sz w:val="28"/>
          <w:szCs w:val="28"/>
        </w:rPr>
        <w:br w:type="page"/>
      </w:r>
      <w:r>
        <w:rPr>
          <w:rFonts w:hint="eastAsia" w:hAnsi="宋体" w:cs="宋体"/>
          <w:sz w:val="24"/>
          <w:szCs w:val="24"/>
        </w:rPr>
        <w:t>格式四</w:t>
      </w:r>
      <w:r>
        <w:rPr>
          <w:rFonts w:hint="eastAsia" w:hAnsi="宋体" w:cs="宋体"/>
          <w:b/>
          <w:sz w:val="24"/>
          <w:szCs w:val="24"/>
        </w:rPr>
        <w:t>：</w:t>
      </w:r>
    </w:p>
    <w:p>
      <w:pPr>
        <w:adjustRightInd w:val="0"/>
        <w:snapToGrid w:val="0"/>
        <w:spacing w:line="360" w:lineRule="auto"/>
        <w:jc w:val="center"/>
        <w:outlineLvl w:val="1"/>
        <w:rPr>
          <w:rFonts w:hint="eastAsia" w:ascii="宋体" w:hAnsi="宋体" w:cs="宋体"/>
          <w:b/>
          <w:sz w:val="28"/>
          <w:szCs w:val="28"/>
        </w:rPr>
      </w:pPr>
      <w:bookmarkStart w:id="82" w:name="_Toc4875"/>
      <w:bookmarkStart w:id="83" w:name="_Toc14988"/>
      <w:bookmarkStart w:id="84" w:name="_Toc17744"/>
      <w:r>
        <w:rPr>
          <w:rFonts w:hint="eastAsia" w:ascii="宋体" w:hAnsi="宋体" w:cs="宋体"/>
          <w:b/>
          <w:sz w:val="28"/>
          <w:szCs w:val="28"/>
        </w:rPr>
        <w:t>三、</w:t>
      </w:r>
      <w:bookmarkEnd w:id="82"/>
      <w:bookmarkEnd w:id="83"/>
      <w:r>
        <w:rPr>
          <w:rFonts w:hint="eastAsia" w:ascii="宋体" w:hAnsi="宋体" w:cs="宋体"/>
          <w:b/>
          <w:sz w:val="28"/>
          <w:szCs w:val="28"/>
        </w:rPr>
        <w:t>首轮报价表</w:t>
      </w:r>
      <w:bookmarkEnd w:id="84"/>
    </w:p>
    <w:p>
      <w:pPr>
        <w:pStyle w:val="7"/>
        <w:spacing w:line="460" w:lineRule="exact"/>
        <w:ind w:right="57"/>
        <w:rPr>
          <w:rFonts w:hint="eastAsia" w:hAnsi="宋体" w:cs="宋体"/>
          <w:sz w:val="28"/>
          <w:szCs w:val="28"/>
        </w:rPr>
      </w:pPr>
    </w:p>
    <w:p>
      <w:pPr>
        <w:spacing w:line="460" w:lineRule="exact"/>
        <w:ind w:firstLine="120" w:firstLineChars="50"/>
        <w:rPr>
          <w:rFonts w:hint="eastAsia" w:ascii="宋体" w:hAnsi="宋体" w:cs="宋体"/>
          <w:sz w:val="24"/>
        </w:rPr>
      </w:pPr>
      <w:r>
        <w:rPr>
          <w:rFonts w:hint="eastAsia" w:ascii="宋体" w:hAnsi="宋体" w:cs="宋体"/>
          <w:sz w:val="24"/>
        </w:rPr>
        <w:t>项目名称：项目编号：</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2115"/>
        <w:gridCol w:w="4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428" w:type="dxa"/>
            <w:noWrap w:val="0"/>
            <w:vAlign w:val="center"/>
          </w:tcPr>
          <w:p>
            <w:pPr>
              <w:spacing w:line="460" w:lineRule="exact"/>
              <w:ind w:left="57" w:right="57"/>
              <w:jc w:val="center"/>
              <w:rPr>
                <w:rFonts w:hint="eastAsia" w:ascii="宋体" w:hAnsi="宋体" w:cs="宋体"/>
                <w:b/>
                <w:sz w:val="24"/>
              </w:rPr>
            </w:pPr>
            <w:r>
              <w:rPr>
                <w:rFonts w:hint="eastAsia" w:ascii="宋体" w:hAnsi="宋体" w:cs="宋体"/>
                <w:b/>
                <w:sz w:val="24"/>
              </w:rPr>
              <w:t>招标内容</w:t>
            </w:r>
          </w:p>
        </w:tc>
        <w:tc>
          <w:tcPr>
            <w:tcW w:w="2115" w:type="dxa"/>
            <w:noWrap w:val="0"/>
            <w:vAlign w:val="center"/>
          </w:tcPr>
          <w:p>
            <w:pPr>
              <w:spacing w:line="460" w:lineRule="exact"/>
              <w:ind w:left="57" w:right="57"/>
              <w:jc w:val="center"/>
              <w:rPr>
                <w:rFonts w:hint="eastAsia" w:ascii="宋体" w:hAnsi="宋体" w:cs="宋体"/>
                <w:b/>
                <w:sz w:val="24"/>
              </w:rPr>
            </w:pPr>
            <w:r>
              <w:rPr>
                <w:rFonts w:hint="eastAsia" w:ascii="宋体" w:hAnsi="宋体" w:cs="宋体"/>
                <w:b/>
                <w:sz w:val="24"/>
              </w:rPr>
              <w:t>服务期</w:t>
            </w:r>
          </w:p>
        </w:tc>
        <w:tc>
          <w:tcPr>
            <w:tcW w:w="4613" w:type="dxa"/>
            <w:noWrap w:val="0"/>
            <w:vAlign w:val="center"/>
          </w:tcPr>
          <w:p>
            <w:pPr>
              <w:spacing w:line="460" w:lineRule="exact"/>
              <w:ind w:left="57" w:right="57"/>
              <w:jc w:val="center"/>
              <w:rPr>
                <w:rFonts w:hint="eastAsia" w:ascii="宋体" w:hAnsi="宋体" w:cs="宋体"/>
                <w:b/>
                <w:sz w:val="24"/>
              </w:rPr>
            </w:pPr>
            <w:r>
              <w:rPr>
                <w:rFonts w:hint="eastAsia" w:ascii="宋体" w:hAnsi="宋体" w:cs="宋体"/>
                <w:b/>
                <w:sz w:val="24"/>
              </w:rPr>
              <w:t>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2428" w:type="dxa"/>
            <w:noWrap w:val="0"/>
            <w:vAlign w:val="center"/>
          </w:tcPr>
          <w:p>
            <w:pPr>
              <w:spacing w:line="460" w:lineRule="exact"/>
              <w:ind w:left="57" w:right="57"/>
              <w:jc w:val="center"/>
              <w:rPr>
                <w:rFonts w:hint="eastAsia" w:ascii="宋体" w:hAnsi="宋体" w:cs="宋体"/>
                <w:bCs/>
                <w:sz w:val="24"/>
              </w:rPr>
            </w:pPr>
            <w:r>
              <w:rPr>
                <w:rFonts w:hint="eastAsia" w:ascii="宋体" w:hAnsi="宋体" w:cs="宋体"/>
                <w:bCs/>
                <w:color w:val="000000"/>
                <w:sz w:val="24"/>
              </w:rPr>
              <w:t>信息技术服务</w:t>
            </w:r>
          </w:p>
        </w:tc>
        <w:tc>
          <w:tcPr>
            <w:tcW w:w="2115" w:type="dxa"/>
            <w:noWrap w:val="0"/>
            <w:vAlign w:val="center"/>
          </w:tcPr>
          <w:p>
            <w:pPr>
              <w:spacing w:line="460" w:lineRule="exact"/>
              <w:ind w:left="57" w:right="57" w:firstLine="57"/>
              <w:jc w:val="left"/>
              <w:rPr>
                <w:rFonts w:hint="eastAsia" w:ascii="宋体" w:hAnsi="宋体" w:cs="宋体" w:eastAsiaTheme="minorEastAsia"/>
                <w:bCs/>
                <w:sz w:val="24"/>
                <w:lang w:eastAsia="zh-CN"/>
              </w:rPr>
            </w:pPr>
          </w:p>
        </w:tc>
        <w:tc>
          <w:tcPr>
            <w:tcW w:w="4613" w:type="dxa"/>
            <w:noWrap w:val="0"/>
            <w:vAlign w:val="center"/>
          </w:tcPr>
          <w:p>
            <w:pPr>
              <w:spacing w:line="460" w:lineRule="exact"/>
              <w:ind w:left="57" w:right="57" w:firstLine="57"/>
              <w:jc w:val="left"/>
              <w:rPr>
                <w:rFonts w:hint="eastAsia" w:ascii="宋体" w:hAnsi="宋体" w:cs="宋体"/>
                <w:bCs/>
                <w:sz w:val="24"/>
              </w:rPr>
            </w:pPr>
            <w:r>
              <w:rPr>
                <w:rFonts w:hint="eastAsia" w:ascii="宋体" w:hAnsi="宋体" w:cs="宋体"/>
                <w:bCs/>
                <w:sz w:val="24"/>
              </w:rPr>
              <w:t>大写：</w:t>
            </w:r>
          </w:p>
          <w:p>
            <w:pPr>
              <w:spacing w:line="460" w:lineRule="exact"/>
              <w:ind w:left="57" w:right="57" w:firstLine="57"/>
              <w:jc w:val="left"/>
              <w:rPr>
                <w:rFonts w:hint="eastAsia" w:ascii="宋体" w:hAnsi="宋体" w:cs="宋体" w:eastAsiaTheme="minorEastAsia"/>
                <w:bCs/>
                <w:sz w:val="24"/>
                <w:lang w:eastAsia="zh-CN"/>
              </w:rPr>
            </w:pPr>
            <w:r>
              <w:rPr>
                <w:rFonts w:hint="eastAsia" w:ascii="宋体" w:hAnsi="宋体" w:cs="宋体"/>
                <w:bCs/>
                <w:sz w:val="24"/>
              </w:rPr>
              <w:t>小写：</w:t>
            </w:r>
          </w:p>
        </w:tc>
      </w:tr>
    </w:tbl>
    <w:p>
      <w:pPr>
        <w:adjustRightInd w:val="0"/>
        <w:snapToGrid w:val="0"/>
        <w:spacing w:line="460" w:lineRule="exact"/>
        <w:rPr>
          <w:rFonts w:hint="eastAsia" w:ascii="宋体" w:hAnsi="宋体" w:cs="宋体"/>
          <w:sz w:val="24"/>
        </w:rPr>
      </w:pPr>
    </w:p>
    <w:p>
      <w:pPr>
        <w:adjustRightInd w:val="0"/>
        <w:snapToGrid w:val="0"/>
        <w:spacing w:line="460" w:lineRule="exact"/>
        <w:rPr>
          <w:rFonts w:hint="eastAsia" w:ascii="宋体" w:hAnsi="宋体" w:cs="宋体"/>
          <w:sz w:val="24"/>
        </w:rPr>
      </w:pPr>
      <w:r>
        <w:rPr>
          <w:rFonts w:hint="eastAsia" w:ascii="宋体" w:hAnsi="宋体" w:cs="宋体"/>
          <w:sz w:val="24"/>
        </w:rPr>
        <w:t>说明：1．所有价格均系用人民币表示。报价包含成交后应付的所有费用。</w:t>
      </w:r>
    </w:p>
    <w:p>
      <w:pPr>
        <w:adjustRightInd w:val="0"/>
        <w:snapToGrid w:val="0"/>
        <w:spacing w:line="460" w:lineRule="exact"/>
        <w:ind w:firstLine="720" w:firstLineChars="300"/>
        <w:rPr>
          <w:rFonts w:hint="eastAsia" w:ascii="宋体" w:hAnsi="宋体" w:cs="宋体"/>
          <w:sz w:val="24"/>
        </w:rPr>
      </w:pPr>
      <w:r>
        <w:rPr>
          <w:rFonts w:hint="eastAsia" w:ascii="宋体" w:hAnsi="宋体" w:cs="宋体"/>
          <w:sz w:val="24"/>
        </w:rPr>
        <w:t>2．价格应按照“投标须知”的要求报价。</w:t>
      </w:r>
    </w:p>
    <w:p>
      <w:pPr>
        <w:adjustRightInd w:val="0"/>
        <w:snapToGrid w:val="0"/>
        <w:spacing w:line="460" w:lineRule="exact"/>
        <w:ind w:firstLine="720" w:firstLineChars="300"/>
        <w:rPr>
          <w:rFonts w:hint="eastAsia" w:ascii="宋体" w:hAnsi="宋体" w:cs="宋体"/>
          <w:sz w:val="24"/>
        </w:rPr>
      </w:pPr>
      <w:r>
        <w:rPr>
          <w:rFonts w:hint="eastAsia" w:ascii="宋体" w:hAnsi="宋体" w:cs="宋体"/>
          <w:sz w:val="24"/>
        </w:rPr>
        <w:t>3．此表除在响应文件中体现外，还要将另一份完全相同的本表单独密封并递交，作为唱标之用。</w:t>
      </w:r>
    </w:p>
    <w:p>
      <w:pPr>
        <w:spacing w:line="460" w:lineRule="exact"/>
        <w:ind w:left="57" w:leftChars="27" w:right="57" w:firstLine="2556" w:firstLineChars="1061"/>
        <w:rPr>
          <w:rFonts w:hint="eastAsia" w:ascii="宋体" w:hAnsi="宋体" w:cs="宋体"/>
          <w:b/>
          <w:bCs/>
          <w:sz w:val="24"/>
        </w:rPr>
      </w:pPr>
    </w:p>
    <w:p>
      <w:pPr>
        <w:spacing w:line="460" w:lineRule="exact"/>
        <w:ind w:left="57" w:leftChars="27" w:right="57" w:firstLine="2786" w:firstLineChars="1161"/>
        <w:rPr>
          <w:rFonts w:hint="eastAsia" w:ascii="宋体" w:hAnsi="宋体" w:cs="宋体"/>
          <w:sz w:val="24"/>
        </w:rPr>
      </w:pPr>
    </w:p>
    <w:p>
      <w:pPr>
        <w:spacing w:line="460" w:lineRule="exact"/>
        <w:ind w:left="57" w:leftChars="27" w:right="57" w:firstLine="2786" w:firstLineChars="1161"/>
        <w:rPr>
          <w:rFonts w:hint="eastAsia" w:ascii="宋体" w:hAnsi="宋体" w:cs="宋体"/>
          <w:sz w:val="24"/>
        </w:rPr>
      </w:pPr>
    </w:p>
    <w:p>
      <w:pPr>
        <w:spacing w:line="460" w:lineRule="exact"/>
        <w:ind w:right="57"/>
        <w:rPr>
          <w:rFonts w:hint="eastAsia" w:ascii="宋体" w:hAnsi="宋体" w:cs="宋体"/>
          <w:b/>
          <w:bCs/>
          <w:sz w:val="24"/>
        </w:rPr>
      </w:pPr>
      <w:r>
        <w:rPr>
          <w:rFonts w:hint="eastAsia" w:ascii="宋体" w:hAnsi="宋体" w:cs="宋体"/>
          <w:sz w:val="24"/>
        </w:rPr>
        <w:t>供应商名称（加盖公章）：</w:t>
      </w:r>
    </w:p>
    <w:p>
      <w:pPr>
        <w:spacing w:line="460" w:lineRule="exact"/>
        <w:ind w:left="57" w:right="57" w:firstLine="57"/>
        <w:rPr>
          <w:rFonts w:hint="eastAsia" w:ascii="宋体" w:hAnsi="宋体" w:cs="宋体" w:eastAsiaTheme="minorEastAsia"/>
          <w:bCs/>
          <w:sz w:val="24"/>
          <w:lang w:eastAsia="zh-CN"/>
        </w:rPr>
      </w:pPr>
      <w:bookmarkStart w:id="85" w:name="_Toc373089589"/>
      <w:bookmarkStart w:id="86" w:name="_Toc399939651"/>
      <w:bookmarkStart w:id="87" w:name="_Toc372988371"/>
      <w:bookmarkStart w:id="88" w:name="_Toc405304914"/>
      <w:bookmarkStart w:id="89" w:name="_Toc414628844"/>
    </w:p>
    <w:p>
      <w:pPr>
        <w:spacing w:line="460" w:lineRule="exact"/>
        <w:ind w:right="57"/>
        <w:rPr>
          <w:rFonts w:hint="eastAsia" w:ascii="宋体" w:hAnsi="宋体" w:cs="宋体"/>
          <w:bCs/>
          <w:sz w:val="24"/>
          <w:u w:val="single"/>
        </w:rPr>
      </w:pPr>
      <w:r>
        <w:rPr>
          <w:rFonts w:hint="eastAsia" w:ascii="宋体" w:hAnsi="宋体" w:cs="宋体"/>
          <w:bCs/>
          <w:sz w:val="24"/>
        </w:rPr>
        <w:t>法定代表人或法人授权代表（签字）：</w:t>
      </w:r>
      <w:bookmarkEnd w:id="85"/>
      <w:bookmarkEnd w:id="86"/>
      <w:bookmarkEnd w:id="87"/>
      <w:bookmarkEnd w:id="88"/>
      <w:bookmarkEnd w:id="89"/>
    </w:p>
    <w:p>
      <w:pPr>
        <w:adjustRightInd w:val="0"/>
        <w:snapToGrid w:val="0"/>
        <w:spacing w:line="460" w:lineRule="exact"/>
        <w:rPr>
          <w:rFonts w:hint="eastAsia" w:ascii="宋体" w:hAnsi="宋体" w:cs="宋体"/>
          <w:sz w:val="24"/>
        </w:rPr>
      </w:pPr>
    </w:p>
    <w:p>
      <w:pPr>
        <w:autoSpaceDE w:val="0"/>
        <w:autoSpaceDN w:val="0"/>
        <w:spacing w:line="460" w:lineRule="exact"/>
        <w:jc w:val="center"/>
        <w:rPr>
          <w:rFonts w:hint="eastAsia" w:ascii="宋体" w:hAnsi="宋体" w:cs="宋体" w:eastAsiaTheme="minorEastAsia"/>
          <w:sz w:val="24"/>
          <w:lang w:eastAsia="zh-CN"/>
        </w:rPr>
      </w:pPr>
    </w:p>
    <w:p>
      <w:pPr>
        <w:autoSpaceDE w:val="0"/>
        <w:autoSpaceDN w:val="0"/>
        <w:spacing w:line="460" w:lineRule="exact"/>
        <w:jc w:val="center"/>
        <w:rPr>
          <w:rFonts w:hint="eastAsia" w:ascii="宋体" w:hAnsi="宋体" w:cs="宋体"/>
          <w:sz w:val="24"/>
        </w:rPr>
      </w:pPr>
      <w:r>
        <w:rPr>
          <w:rFonts w:hint="eastAsia" w:ascii="宋体" w:hAnsi="宋体" w:cs="宋体"/>
          <w:sz w:val="24"/>
        </w:rPr>
        <w:t>年月日</w:t>
      </w:r>
    </w:p>
    <w:p>
      <w:pPr>
        <w:adjustRightInd w:val="0"/>
        <w:snapToGrid w:val="0"/>
        <w:spacing w:line="360" w:lineRule="auto"/>
        <w:rPr>
          <w:rFonts w:hint="eastAsia" w:ascii="宋体" w:hAnsi="宋体" w:cs="宋体"/>
          <w:b/>
          <w:sz w:val="32"/>
          <w:szCs w:val="32"/>
        </w:rPr>
      </w:pPr>
      <w:r>
        <w:rPr>
          <w:rFonts w:hint="eastAsia" w:ascii="宋体" w:hAnsi="宋体" w:cs="宋体"/>
          <w:b/>
          <w:sz w:val="24"/>
        </w:rPr>
        <w:br w:type="page"/>
      </w:r>
      <w:r>
        <w:rPr>
          <w:rFonts w:hint="eastAsia" w:ascii="宋体" w:hAnsi="宋体" w:cs="宋体"/>
          <w:sz w:val="24"/>
        </w:rPr>
        <w:t>格式五</w:t>
      </w:r>
      <w:r>
        <w:rPr>
          <w:rFonts w:hint="eastAsia" w:ascii="宋体" w:hAnsi="宋体" w:cs="宋体"/>
          <w:b/>
          <w:sz w:val="24"/>
        </w:rPr>
        <w:t>：</w:t>
      </w:r>
    </w:p>
    <w:p>
      <w:pPr>
        <w:numPr>
          <w:ilvl w:val="0"/>
          <w:numId w:val="5"/>
        </w:numPr>
        <w:adjustRightInd w:val="0"/>
        <w:snapToGrid w:val="0"/>
        <w:spacing w:line="360" w:lineRule="auto"/>
        <w:jc w:val="center"/>
        <w:outlineLvl w:val="1"/>
        <w:rPr>
          <w:rFonts w:hint="eastAsia" w:ascii="宋体" w:hAnsi="宋体" w:cs="宋体"/>
          <w:b/>
          <w:sz w:val="28"/>
          <w:szCs w:val="28"/>
        </w:rPr>
      </w:pPr>
      <w:bookmarkStart w:id="90" w:name="_Toc16975"/>
      <w:bookmarkStart w:id="91" w:name="_Toc7913"/>
      <w:bookmarkStart w:id="92" w:name="_Toc3850"/>
      <w:r>
        <w:rPr>
          <w:rFonts w:hint="eastAsia" w:ascii="宋体" w:hAnsi="宋体" w:cs="宋体"/>
          <w:b/>
          <w:sz w:val="28"/>
          <w:szCs w:val="28"/>
        </w:rPr>
        <w:t>分项报价明细表</w:t>
      </w:r>
      <w:bookmarkEnd w:id="90"/>
      <w:bookmarkEnd w:id="91"/>
      <w:bookmarkEnd w:id="92"/>
    </w:p>
    <w:p>
      <w:pPr>
        <w:spacing w:line="520" w:lineRule="exact"/>
        <w:jc w:val="left"/>
        <w:rPr>
          <w:rFonts w:hint="eastAsia" w:ascii="宋体" w:hAnsi="宋体" w:cs="宋体" w:eastAsiaTheme="minorEastAsia"/>
          <w:sz w:val="24"/>
          <w:lang w:eastAsia="zh-CN"/>
        </w:rPr>
      </w:pPr>
      <w:r>
        <w:rPr>
          <w:rFonts w:hint="eastAsia" w:ascii="宋体" w:hAnsi="宋体" w:cs="宋体"/>
          <w:sz w:val="24"/>
        </w:rPr>
        <w:t>项目名称:</w:t>
      </w:r>
    </w:p>
    <w:p>
      <w:pPr>
        <w:adjustRightInd w:val="0"/>
        <w:snapToGrid w:val="0"/>
        <w:spacing w:line="360" w:lineRule="auto"/>
        <w:rPr>
          <w:rFonts w:hint="eastAsia" w:ascii="宋体" w:hAnsi="宋体" w:cs="宋体" w:eastAsiaTheme="minorEastAsia"/>
          <w:b/>
          <w:sz w:val="36"/>
          <w:szCs w:val="36"/>
          <w:lang w:eastAsia="zh-CN"/>
        </w:rPr>
      </w:pPr>
      <w:r>
        <w:rPr>
          <w:rFonts w:hint="eastAsia" w:ascii="宋体" w:hAnsi="宋体" w:cs="宋体"/>
          <w:sz w:val="24"/>
        </w:rPr>
        <w:t>招标编号:</w:t>
      </w:r>
    </w:p>
    <w:tbl>
      <w:tblPr>
        <w:tblStyle w:val="13"/>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2070"/>
        <w:gridCol w:w="1787"/>
        <w:gridCol w:w="1414"/>
        <w:gridCol w:w="1402"/>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147" w:type="dxa"/>
            <w:noWrap w:val="0"/>
            <w:tcMar>
              <w:left w:w="0" w:type="dxa"/>
              <w:right w:w="0" w:type="dxa"/>
            </w:tcMar>
            <w:vAlign w:val="center"/>
          </w:tcPr>
          <w:p>
            <w:pPr>
              <w:spacing w:line="520" w:lineRule="exact"/>
              <w:jc w:val="center"/>
              <w:rPr>
                <w:rFonts w:hint="eastAsia" w:ascii="宋体" w:hAnsi="宋体" w:cs="宋体"/>
                <w:b/>
                <w:szCs w:val="21"/>
              </w:rPr>
            </w:pPr>
            <w:r>
              <w:rPr>
                <w:rFonts w:hint="eastAsia" w:ascii="宋体" w:hAnsi="宋体" w:cs="宋体"/>
                <w:b/>
                <w:szCs w:val="21"/>
              </w:rPr>
              <w:t>序号</w:t>
            </w:r>
          </w:p>
        </w:tc>
        <w:tc>
          <w:tcPr>
            <w:tcW w:w="2070" w:type="dxa"/>
            <w:noWrap w:val="0"/>
            <w:vAlign w:val="center"/>
          </w:tcPr>
          <w:p>
            <w:pPr>
              <w:jc w:val="center"/>
              <w:rPr>
                <w:rFonts w:hint="eastAsia" w:ascii="宋体" w:hAnsi="宋体" w:cs="宋体"/>
                <w:b/>
                <w:szCs w:val="21"/>
              </w:rPr>
            </w:pPr>
            <w:r>
              <w:rPr>
                <w:rFonts w:hint="eastAsia" w:ascii="宋体" w:hAnsi="宋体" w:cs="宋体"/>
                <w:b/>
                <w:szCs w:val="21"/>
              </w:rPr>
              <w:t>分项名称</w:t>
            </w:r>
          </w:p>
        </w:tc>
        <w:tc>
          <w:tcPr>
            <w:tcW w:w="1787" w:type="dxa"/>
            <w:noWrap w:val="0"/>
            <w:vAlign w:val="center"/>
          </w:tcPr>
          <w:p>
            <w:pPr>
              <w:jc w:val="center"/>
              <w:rPr>
                <w:rFonts w:hint="eastAsia" w:ascii="宋体" w:hAnsi="宋体" w:cs="宋体"/>
                <w:b/>
                <w:szCs w:val="21"/>
              </w:rPr>
            </w:pPr>
            <w:r>
              <w:rPr>
                <w:rFonts w:hint="eastAsia" w:ascii="宋体" w:hAnsi="宋体" w:cs="宋体"/>
                <w:b/>
                <w:szCs w:val="21"/>
              </w:rPr>
              <w:t>单位</w:t>
            </w:r>
          </w:p>
        </w:tc>
        <w:tc>
          <w:tcPr>
            <w:tcW w:w="1414" w:type="dxa"/>
            <w:noWrap w:val="0"/>
            <w:vAlign w:val="center"/>
          </w:tcPr>
          <w:p>
            <w:pPr>
              <w:jc w:val="center"/>
              <w:rPr>
                <w:rFonts w:hint="eastAsia" w:ascii="宋体" w:hAnsi="宋体" w:cs="宋体"/>
                <w:b/>
                <w:szCs w:val="21"/>
              </w:rPr>
            </w:pPr>
            <w:r>
              <w:rPr>
                <w:rFonts w:hint="eastAsia" w:ascii="宋体" w:hAnsi="宋体" w:cs="宋体"/>
                <w:b/>
                <w:szCs w:val="21"/>
              </w:rPr>
              <w:t>数量</w:t>
            </w:r>
          </w:p>
        </w:tc>
        <w:tc>
          <w:tcPr>
            <w:tcW w:w="1402" w:type="dxa"/>
            <w:noWrap w:val="0"/>
            <w:vAlign w:val="center"/>
          </w:tcPr>
          <w:p>
            <w:pPr>
              <w:jc w:val="center"/>
              <w:rPr>
                <w:rFonts w:hint="eastAsia" w:ascii="宋体" w:hAnsi="宋体" w:cs="宋体"/>
                <w:b/>
                <w:szCs w:val="21"/>
              </w:rPr>
            </w:pPr>
            <w:r>
              <w:rPr>
                <w:rFonts w:hint="eastAsia" w:ascii="宋体" w:hAnsi="宋体" w:cs="宋体"/>
                <w:b/>
                <w:szCs w:val="21"/>
              </w:rPr>
              <w:t>单价</w:t>
            </w:r>
          </w:p>
        </w:tc>
        <w:tc>
          <w:tcPr>
            <w:tcW w:w="1400" w:type="dxa"/>
            <w:noWrap w:val="0"/>
            <w:vAlign w:val="center"/>
          </w:tcPr>
          <w:p>
            <w:pPr>
              <w:jc w:val="center"/>
              <w:rPr>
                <w:rFonts w:hint="eastAsia" w:ascii="宋体" w:hAnsi="宋体" w:cs="宋体"/>
                <w:b/>
                <w:szCs w:val="21"/>
              </w:rPr>
            </w:pPr>
            <w:r>
              <w:rPr>
                <w:rFonts w:hint="eastAsia" w:ascii="宋体" w:hAnsi="宋体" w:cs="宋体"/>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147" w:type="dxa"/>
            <w:noWrap w:val="0"/>
            <w:tcMar>
              <w:left w:w="0" w:type="dxa"/>
              <w:right w:w="0" w:type="dxa"/>
            </w:tcMar>
            <w:vAlign w:val="top"/>
          </w:tcPr>
          <w:p>
            <w:pPr>
              <w:spacing w:line="520" w:lineRule="exact"/>
              <w:jc w:val="center"/>
              <w:rPr>
                <w:rFonts w:hint="eastAsia" w:ascii="宋体" w:hAnsi="宋体" w:cs="宋体"/>
                <w:sz w:val="24"/>
              </w:rPr>
            </w:pPr>
            <w:r>
              <w:rPr>
                <w:rFonts w:hint="eastAsia" w:ascii="宋体" w:hAnsi="宋体" w:cs="宋体"/>
                <w:sz w:val="24"/>
              </w:rPr>
              <w:t>1</w:t>
            </w:r>
          </w:p>
        </w:tc>
        <w:tc>
          <w:tcPr>
            <w:tcW w:w="2070" w:type="dxa"/>
            <w:noWrap w:val="0"/>
            <w:vAlign w:val="top"/>
          </w:tcPr>
          <w:p>
            <w:pPr>
              <w:spacing w:line="520" w:lineRule="exact"/>
              <w:jc w:val="center"/>
              <w:rPr>
                <w:rFonts w:hint="eastAsia" w:ascii="宋体" w:hAnsi="宋体" w:cs="宋体"/>
                <w:sz w:val="24"/>
              </w:rPr>
            </w:pPr>
          </w:p>
        </w:tc>
        <w:tc>
          <w:tcPr>
            <w:tcW w:w="1787" w:type="dxa"/>
            <w:noWrap w:val="0"/>
            <w:vAlign w:val="top"/>
          </w:tcPr>
          <w:p>
            <w:pPr>
              <w:spacing w:line="520" w:lineRule="exact"/>
              <w:jc w:val="center"/>
              <w:rPr>
                <w:rFonts w:hint="eastAsia" w:ascii="宋体" w:hAnsi="宋体" w:cs="宋体"/>
                <w:sz w:val="24"/>
              </w:rPr>
            </w:pPr>
          </w:p>
        </w:tc>
        <w:tc>
          <w:tcPr>
            <w:tcW w:w="1414" w:type="dxa"/>
            <w:noWrap w:val="0"/>
            <w:vAlign w:val="top"/>
          </w:tcPr>
          <w:p>
            <w:pPr>
              <w:spacing w:line="520" w:lineRule="exact"/>
              <w:jc w:val="center"/>
              <w:rPr>
                <w:rFonts w:hint="eastAsia" w:ascii="宋体" w:hAnsi="宋体" w:cs="宋体"/>
                <w:sz w:val="24"/>
              </w:rPr>
            </w:pPr>
          </w:p>
        </w:tc>
        <w:tc>
          <w:tcPr>
            <w:tcW w:w="1402" w:type="dxa"/>
            <w:noWrap w:val="0"/>
            <w:vAlign w:val="top"/>
          </w:tcPr>
          <w:p>
            <w:pPr>
              <w:spacing w:line="520" w:lineRule="exact"/>
              <w:jc w:val="center"/>
              <w:rPr>
                <w:rFonts w:hint="eastAsia" w:ascii="宋体" w:hAnsi="宋体" w:cs="宋体"/>
                <w:sz w:val="24"/>
              </w:rPr>
            </w:pPr>
          </w:p>
        </w:tc>
        <w:tc>
          <w:tcPr>
            <w:tcW w:w="1400" w:type="dxa"/>
            <w:noWrap w:val="0"/>
            <w:vAlign w:val="top"/>
          </w:tcPr>
          <w:p>
            <w:pPr>
              <w:spacing w:line="52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147" w:type="dxa"/>
            <w:noWrap w:val="0"/>
            <w:tcMar>
              <w:left w:w="0" w:type="dxa"/>
              <w:right w:w="0" w:type="dxa"/>
            </w:tcMar>
            <w:vAlign w:val="top"/>
          </w:tcPr>
          <w:p>
            <w:pPr>
              <w:spacing w:line="520" w:lineRule="exact"/>
              <w:jc w:val="center"/>
              <w:rPr>
                <w:rFonts w:hint="eastAsia" w:ascii="宋体" w:hAnsi="宋体" w:cs="宋体"/>
                <w:sz w:val="24"/>
              </w:rPr>
            </w:pPr>
            <w:r>
              <w:rPr>
                <w:rFonts w:hint="eastAsia" w:ascii="宋体" w:hAnsi="宋体" w:cs="宋体"/>
                <w:sz w:val="24"/>
              </w:rPr>
              <w:t>2</w:t>
            </w:r>
          </w:p>
        </w:tc>
        <w:tc>
          <w:tcPr>
            <w:tcW w:w="2070" w:type="dxa"/>
            <w:noWrap w:val="0"/>
            <w:vAlign w:val="top"/>
          </w:tcPr>
          <w:p>
            <w:pPr>
              <w:spacing w:line="520" w:lineRule="exact"/>
              <w:jc w:val="center"/>
              <w:rPr>
                <w:rFonts w:hint="eastAsia" w:ascii="宋体" w:hAnsi="宋体" w:cs="宋体"/>
                <w:sz w:val="24"/>
              </w:rPr>
            </w:pPr>
          </w:p>
        </w:tc>
        <w:tc>
          <w:tcPr>
            <w:tcW w:w="1787" w:type="dxa"/>
            <w:noWrap w:val="0"/>
            <w:vAlign w:val="top"/>
          </w:tcPr>
          <w:p>
            <w:pPr>
              <w:spacing w:line="520" w:lineRule="exact"/>
              <w:jc w:val="center"/>
              <w:rPr>
                <w:rFonts w:hint="eastAsia" w:ascii="宋体" w:hAnsi="宋体" w:cs="宋体"/>
                <w:sz w:val="24"/>
              </w:rPr>
            </w:pPr>
          </w:p>
        </w:tc>
        <w:tc>
          <w:tcPr>
            <w:tcW w:w="1414" w:type="dxa"/>
            <w:noWrap w:val="0"/>
            <w:vAlign w:val="top"/>
          </w:tcPr>
          <w:p>
            <w:pPr>
              <w:spacing w:line="520" w:lineRule="exact"/>
              <w:jc w:val="center"/>
              <w:rPr>
                <w:rFonts w:hint="eastAsia" w:ascii="宋体" w:hAnsi="宋体" w:cs="宋体"/>
                <w:sz w:val="24"/>
              </w:rPr>
            </w:pPr>
          </w:p>
        </w:tc>
        <w:tc>
          <w:tcPr>
            <w:tcW w:w="1402" w:type="dxa"/>
            <w:noWrap w:val="0"/>
            <w:vAlign w:val="top"/>
          </w:tcPr>
          <w:p>
            <w:pPr>
              <w:spacing w:line="520" w:lineRule="exact"/>
              <w:jc w:val="center"/>
              <w:rPr>
                <w:rFonts w:hint="eastAsia" w:ascii="宋体" w:hAnsi="宋体" w:cs="宋体"/>
                <w:sz w:val="24"/>
              </w:rPr>
            </w:pPr>
          </w:p>
        </w:tc>
        <w:tc>
          <w:tcPr>
            <w:tcW w:w="1400" w:type="dxa"/>
            <w:noWrap w:val="0"/>
            <w:vAlign w:val="top"/>
          </w:tcPr>
          <w:p>
            <w:pPr>
              <w:spacing w:line="52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147" w:type="dxa"/>
            <w:noWrap w:val="0"/>
            <w:tcMar>
              <w:left w:w="0" w:type="dxa"/>
              <w:right w:w="0" w:type="dxa"/>
            </w:tcMar>
            <w:vAlign w:val="top"/>
          </w:tcPr>
          <w:p>
            <w:pPr>
              <w:spacing w:line="520" w:lineRule="exact"/>
              <w:jc w:val="center"/>
              <w:rPr>
                <w:rFonts w:hint="eastAsia" w:ascii="宋体" w:hAnsi="宋体" w:cs="宋体"/>
                <w:sz w:val="24"/>
              </w:rPr>
            </w:pPr>
            <w:r>
              <w:rPr>
                <w:rFonts w:hint="eastAsia" w:ascii="宋体" w:hAnsi="宋体" w:cs="宋体"/>
                <w:sz w:val="24"/>
              </w:rPr>
              <w:t>3</w:t>
            </w:r>
          </w:p>
        </w:tc>
        <w:tc>
          <w:tcPr>
            <w:tcW w:w="2070" w:type="dxa"/>
            <w:noWrap w:val="0"/>
            <w:vAlign w:val="top"/>
          </w:tcPr>
          <w:p>
            <w:pPr>
              <w:spacing w:line="520" w:lineRule="exact"/>
              <w:jc w:val="center"/>
              <w:rPr>
                <w:rFonts w:hint="eastAsia" w:ascii="宋体" w:hAnsi="宋体" w:cs="宋体"/>
                <w:sz w:val="24"/>
              </w:rPr>
            </w:pPr>
          </w:p>
        </w:tc>
        <w:tc>
          <w:tcPr>
            <w:tcW w:w="1787" w:type="dxa"/>
            <w:noWrap w:val="0"/>
            <w:vAlign w:val="top"/>
          </w:tcPr>
          <w:p>
            <w:pPr>
              <w:spacing w:line="520" w:lineRule="exact"/>
              <w:jc w:val="center"/>
              <w:rPr>
                <w:rFonts w:hint="eastAsia" w:ascii="宋体" w:hAnsi="宋体" w:cs="宋体"/>
                <w:sz w:val="24"/>
              </w:rPr>
            </w:pPr>
          </w:p>
        </w:tc>
        <w:tc>
          <w:tcPr>
            <w:tcW w:w="1414" w:type="dxa"/>
            <w:noWrap w:val="0"/>
            <w:vAlign w:val="top"/>
          </w:tcPr>
          <w:p>
            <w:pPr>
              <w:spacing w:line="520" w:lineRule="exact"/>
              <w:jc w:val="center"/>
              <w:rPr>
                <w:rFonts w:hint="eastAsia" w:ascii="宋体" w:hAnsi="宋体" w:cs="宋体"/>
                <w:sz w:val="24"/>
              </w:rPr>
            </w:pPr>
          </w:p>
        </w:tc>
        <w:tc>
          <w:tcPr>
            <w:tcW w:w="1402" w:type="dxa"/>
            <w:noWrap w:val="0"/>
            <w:vAlign w:val="top"/>
          </w:tcPr>
          <w:p>
            <w:pPr>
              <w:spacing w:line="520" w:lineRule="exact"/>
              <w:jc w:val="center"/>
              <w:rPr>
                <w:rFonts w:hint="eastAsia" w:ascii="宋体" w:hAnsi="宋体" w:cs="宋体"/>
                <w:sz w:val="24"/>
              </w:rPr>
            </w:pPr>
          </w:p>
        </w:tc>
        <w:tc>
          <w:tcPr>
            <w:tcW w:w="1400" w:type="dxa"/>
            <w:noWrap w:val="0"/>
            <w:vAlign w:val="top"/>
          </w:tcPr>
          <w:p>
            <w:pPr>
              <w:spacing w:line="52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147" w:type="dxa"/>
            <w:noWrap w:val="0"/>
            <w:tcMar>
              <w:left w:w="0" w:type="dxa"/>
              <w:right w:w="0" w:type="dxa"/>
            </w:tcMar>
            <w:vAlign w:val="top"/>
          </w:tcPr>
          <w:p>
            <w:pPr>
              <w:spacing w:line="520" w:lineRule="exact"/>
              <w:jc w:val="center"/>
              <w:rPr>
                <w:rFonts w:hint="eastAsia" w:ascii="宋体" w:hAnsi="宋体" w:cs="宋体"/>
                <w:sz w:val="24"/>
              </w:rPr>
            </w:pPr>
            <w:r>
              <w:rPr>
                <w:rFonts w:hint="eastAsia" w:ascii="宋体" w:hAnsi="宋体" w:cs="宋体"/>
                <w:sz w:val="24"/>
              </w:rPr>
              <w:t>4</w:t>
            </w:r>
          </w:p>
        </w:tc>
        <w:tc>
          <w:tcPr>
            <w:tcW w:w="2070" w:type="dxa"/>
            <w:noWrap w:val="0"/>
            <w:vAlign w:val="top"/>
          </w:tcPr>
          <w:p>
            <w:pPr>
              <w:spacing w:line="520" w:lineRule="exact"/>
              <w:jc w:val="center"/>
              <w:rPr>
                <w:rFonts w:hint="eastAsia" w:ascii="宋体" w:hAnsi="宋体" w:cs="宋体"/>
                <w:sz w:val="24"/>
              </w:rPr>
            </w:pPr>
          </w:p>
        </w:tc>
        <w:tc>
          <w:tcPr>
            <w:tcW w:w="1787" w:type="dxa"/>
            <w:noWrap w:val="0"/>
            <w:vAlign w:val="top"/>
          </w:tcPr>
          <w:p>
            <w:pPr>
              <w:spacing w:line="520" w:lineRule="exact"/>
              <w:jc w:val="center"/>
              <w:rPr>
                <w:rFonts w:hint="eastAsia" w:ascii="宋体" w:hAnsi="宋体" w:cs="宋体"/>
                <w:sz w:val="24"/>
              </w:rPr>
            </w:pPr>
          </w:p>
        </w:tc>
        <w:tc>
          <w:tcPr>
            <w:tcW w:w="1414" w:type="dxa"/>
            <w:noWrap w:val="0"/>
            <w:vAlign w:val="top"/>
          </w:tcPr>
          <w:p>
            <w:pPr>
              <w:spacing w:line="520" w:lineRule="exact"/>
              <w:jc w:val="center"/>
              <w:rPr>
                <w:rFonts w:hint="eastAsia" w:ascii="宋体" w:hAnsi="宋体" w:cs="宋体"/>
                <w:sz w:val="24"/>
              </w:rPr>
            </w:pPr>
          </w:p>
        </w:tc>
        <w:tc>
          <w:tcPr>
            <w:tcW w:w="1402" w:type="dxa"/>
            <w:noWrap w:val="0"/>
            <w:vAlign w:val="top"/>
          </w:tcPr>
          <w:p>
            <w:pPr>
              <w:spacing w:line="520" w:lineRule="exact"/>
              <w:jc w:val="center"/>
              <w:rPr>
                <w:rFonts w:hint="eastAsia" w:ascii="宋体" w:hAnsi="宋体" w:cs="宋体"/>
                <w:sz w:val="24"/>
              </w:rPr>
            </w:pPr>
          </w:p>
        </w:tc>
        <w:tc>
          <w:tcPr>
            <w:tcW w:w="1400" w:type="dxa"/>
            <w:noWrap w:val="0"/>
            <w:vAlign w:val="top"/>
          </w:tcPr>
          <w:p>
            <w:pPr>
              <w:spacing w:line="52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147" w:type="dxa"/>
            <w:noWrap w:val="0"/>
            <w:tcMar>
              <w:left w:w="0" w:type="dxa"/>
              <w:right w:w="0" w:type="dxa"/>
            </w:tcMar>
            <w:vAlign w:val="top"/>
          </w:tcPr>
          <w:p>
            <w:pPr>
              <w:spacing w:line="520" w:lineRule="exact"/>
              <w:jc w:val="center"/>
              <w:rPr>
                <w:rFonts w:hint="eastAsia" w:ascii="宋体" w:hAnsi="宋体" w:cs="宋体"/>
                <w:sz w:val="24"/>
              </w:rPr>
            </w:pPr>
            <w:r>
              <w:rPr>
                <w:rFonts w:hint="eastAsia" w:ascii="宋体" w:hAnsi="宋体" w:cs="宋体"/>
                <w:sz w:val="24"/>
              </w:rPr>
              <w:t>5</w:t>
            </w:r>
          </w:p>
        </w:tc>
        <w:tc>
          <w:tcPr>
            <w:tcW w:w="2070" w:type="dxa"/>
            <w:noWrap w:val="0"/>
            <w:vAlign w:val="top"/>
          </w:tcPr>
          <w:p>
            <w:pPr>
              <w:spacing w:line="520" w:lineRule="exact"/>
              <w:jc w:val="center"/>
              <w:rPr>
                <w:rFonts w:hint="eastAsia" w:ascii="宋体" w:hAnsi="宋体" w:cs="宋体"/>
                <w:sz w:val="24"/>
              </w:rPr>
            </w:pPr>
          </w:p>
        </w:tc>
        <w:tc>
          <w:tcPr>
            <w:tcW w:w="1787" w:type="dxa"/>
            <w:noWrap w:val="0"/>
            <w:vAlign w:val="top"/>
          </w:tcPr>
          <w:p>
            <w:pPr>
              <w:spacing w:line="520" w:lineRule="exact"/>
              <w:jc w:val="center"/>
              <w:rPr>
                <w:rFonts w:hint="eastAsia" w:ascii="宋体" w:hAnsi="宋体" w:cs="宋体"/>
                <w:sz w:val="24"/>
              </w:rPr>
            </w:pPr>
          </w:p>
        </w:tc>
        <w:tc>
          <w:tcPr>
            <w:tcW w:w="1414" w:type="dxa"/>
            <w:noWrap w:val="0"/>
            <w:vAlign w:val="top"/>
          </w:tcPr>
          <w:p>
            <w:pPr>
              <w:spacing w:line="520" w:lineRule="exact"/>
              <w:jc w:val="center"/>
              <w:rPr>
                <w:rFonts w:hint="eastAsia" w:ascii="宋体" w:hAnsi="宋体" w:cs="宋体"/>
                <w:sz w:val="24"/>
              </w:rPr>
            </w:pPr>
          </w:p>
        </w:tc>
        <w:tc>
          <w:tcPr>
            <w:tcW w:w="1402" w:type="dxa"/>
            <w:noWrap w:val="0"/>
            <w:vAlign w:val="top"/>
          </w:tcPr>
          <w:p>
            <w:pPr>
              <w:spacing w:line="520" w:lineRule="exact"/>
              <w:jc w:val="center"/>
              <w:rPr>
                <w:rFonts w:hint="eastAsia" w:ascii="宋体" w:hAnsi="宋体" w:cs="宋体"/>
                <w:sz w:val="24"/>
              </w:rPr>
            </w:pPr>
          </w:p>
        </w:tc>
        <w:tc>
          <w:tcPr>
            <w:tcW w:w="1400" w:type="dxa"/>
            <w:noWrap w:val="0"/>
            <w:vAlign w:val="top"/>
          </w:tcPr>
          <w:p>
            <w:pPr>
              <w:spacing w:line="52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147" w:type="dxa"/>
            <w:noWrap w:val="0"/>
            <w:tcMar>
              <w:left w:w="0" w:type="dxa"/>
              <w:right w:w="0" w:type="dxa"/>
            </w:tcMar>
            <w:vAlign w:val="top"/>
          </w:tcPr>
          <w:p>
            <w:pPr>
              <w:spacing w:line="520" w:lineRule="exact"/>
              <w:jc w:val="center"/>
              <w:rPr>
                <w:rFonts w:hint="eastAsia" w:ascii="宋体" w:hAnsi="宋体" w:cs="宋体"/>
                <w:sz w:val="24"/>
              </w:rPr>
            </w:pPr>
            <w:r>
              <w:rPr>
                <w:rFonts w:hint="eastAsia" w:ascii="宋体" w:hAnsi="宋体" w:cs="宋体"/>
                <w:sz w:val="24"/>
              </w:rPr>
              <w:t>6</w:t>
            </w:r>
          </w:p>
        </w:tc>
        <w:tc>
          <w:tcPr>
            <w:tcW w:w="2070" w:type="dxa"/>
            <w:noWrap w:val="0"/>
            <w:vAlign w:val="top"/>
          </w:tcPr>
          <w:p>
            <w:pPr>
              <w:spacing w:line="520" w:lineRule="exact"/>
              <w:jc w:val="center"/>
              <w:rPr>
                <w:rFonts w:hint="eastAsia" w:ascii="宋体" w:hAnsi="宋体" w:cs="宋体"/>
                <w:sz w:val="24"/>
              </w:rPr>
            </w:pPr>
          </w:p>
        </w:tc>
        <w:tc>
          <w:tcPr>
            <w:tcW w:w="1787" w:type="dxa"/>
            <w:noWrap w:val="0"/>
            <w:vAlign w:val="top"/>
          </w:tcPr>
          <w:p>
            <w:pPr>
              <w:spacing w:line="520" w:lineRule="exact"/>
              <w:jc w:val="center"/>
              <w:rPr>
                <w:rFonts w:hint="eastAsia" w:ascii="宋体" w:hAnsi="宋体" w:cs="宋体"/>
                <w:sz w:val="24"/>
              </w:rPr>
            </w:pPr>
          </w:p>
        </w:tc>
        <w:tc>
          <w:tcPr>
            <w:tcW w:w="1414" w:type="dxa"/>
            <w:noWrap w:val="0"/>
            <w:vAlign w:val="top"/>
          </w:tcPr>
          <w:p>
            <w:pPr>
              <w:spacing w:line="520" w:lineRule="exact"/>
              <w:jc w:val="center"/>
              <w:rPr>
                <w:rFonts w:hint="eastAsia" w:ascii="宋体" w:hAnsi="宋体" w:cs="宋体"/>
                <w:sz w:val="24"/>
              </w:rPr>
            </w:pPr>
          </w:p>
        </w:tc>
        <w:tc>
          <w:tcPr>
            <w:tcW w:w="1402" w:type="dxa"/>
            <w:noWrap w:val="0"/>
            <w:vAlign w:val="top"/>
          </w:tcPr>
          <w:p>
            <w:pPr>
              <w:spacing w:line="520" w:lineRule="exact"/>
              <w:jc w:val="center"/>
              <w:rPr>
                <w:rFonts w:hint="eastAsia" w:ascii="宋体" w:hAnsi="宋体" w:cs="宋体"/>
                <w:sz w:val="24"/>
              </w:rPr>
            </w:pPr>
          </w:p>
        </w:tc>
        <w:tc>
          <w:tcPr>
            <w:tcW w:w="1400" w:type="dxa"/>
            <w:noWrap w:val="0"/>
            <w:vAlign w:val="top"/>
          </w:tcPr>
          <w:p>
            <w:pPr>
              <w:spacing w:line="52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147" w:type="dxa"/>
            <w:noWrap w:val="0"/>
            <w:tcMar>
              <w:left w:w="0" w:type="dxa"/>
              <w:right w:w="0" w:type="dxa"/>
            </w:tcMar>
            <w:vAlign w:val="top"/>
          </w:tcPr>
          <w:p>
            <w:pPr>
              <w:spacing w:line="520" w:lineRule="exact"/>
              <w:jc w:val="center"/>
              <w:rPr>
                <w:rFonts w:hint="eastAsia" w:ascii="宋体" w:hAnsi="宋体" w:cs="宋体"/>
                <w:sz w:val="24"/>
              </w:rPr>
            </w:pPr>
            <w:r>
              <w:rPr>
                <w:rFonts w:hint="eastAsia" w:ascii="宋体" w:hAnsi="宋体" w:cs="宋体"/>
                <w:sz w:val="24"/>
              </w:rPr>
              <w:t>......</w:t>
            </w:r>
          </w:p>
        </w:tc>
        <w:tc>
          <w:tcPr>
            <w:tcW w:w="2070" w:type="dxa"/>
            <w:noWrap w:val="0"/>
            <w:vAlign w:val="top"/>
          </w:tcPr>
          <w:p>
            <w:pPr>
              <w:spacing w:line="520" w:lineRule="exact"/>
              <w:jc w:val="center"/>
              <w:rPr>
                <w:rFonts w:hint="eastAsia" w:ascii="宋体" w:hAnsi="宋体" w:cs="宋体"/>
                <w:sz w:val="24"/>
              </w:rPr>
            </w:pPr>
          </w:p>
        </w:tc>
        <w:tc>
          <w:tcPr>
            <w:tcW w:w="1787" w:type="dxa"/>
            <w:noWrap w:val="0"/>
            <w:vAlign w:val="top"/>
          </w:tcPr>
          <w:p>
            <w:pPr>
              <w:spacing w:line="520" w:lineRule="exact"/>
              <w:jc w:val="center"/>
              <w:rPr>
                <w:rFonts w:hint="eastAsia" w:ascii="宋体" w:hAnsi="宋体" w:cs="宋体"/>
                <w:sz w:val="24"/>
              </w:rPr>
            </w:pPr>
          </w:p>
        </w:tc>
        <w:tc>
          <w:tcPr>
            <w:tcW w:w="1414" w:type="dxa"/>
            <w:noWrap w:val="0"/>
            <w:vAlign w:val="top"/>
          </w:tcPr>
          <w:p>
            <w:pPr>
              <w:spacing w:line="520" w:lineRule="exact"/>
              <w:jc w:val="center"/>
              <w:rPr>
                <w:rFonts w:hint="eastAsia" w:ascii="宋体" w:hAnsi="宋体" w:cs="宋体"/>
                <w:sz w:val="24"/>
              </w:rPr>
            </w:pPr>
          </w:p>
        </w:tc>
        <w:tc>
          <w:tcPr>
            <w:tcW w:w="1402" w:type="dxa"/>
            <w:noWrap w:val="0"/>
            <w:vAlign w:val="top"/>
          </w:tcPr>
          <w:p>
            <w:pPr>
              <w:spacing w:line="520" w:lineRule="exact"/>
              <w:jc w:val="center"/>
              <w:rPr>
                <w:rFonts w:hint="eastAsia" w:ascii="宋体" w:hAnsi="宋体" w:cs="宋体"/>
                <w:sz w:val="24"/>
              </w:rPr>
            </w:pPr>
          </w:p>
        </w:tc>
        <w:tc>
          <w:tcPr>
            <w:tcW w:w="1400" w:type="dxa"/>
            <w:noWrap w:val="0"/>
            <w:vAlign w:val="top"/>
          </w:tcPr>
          <w:p>
            <w:pPr>
              <w:spacing w:line="52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220" w:type="dxa"/>
            <w:gridSpan w:val="6"/>
            <w:noWrap w:val="0"/>
            <w:tcMar>
              <w:left w:w="0" w:type="dxa"/>
              <w:right w:w="0" w:type="dxa"/>
            </w:tcMar>
            <w:vAlign w:val="center"/>
          </w:tcPr>
          <w:p>
            <w:pPr>
              <w:adjustRightInd w:val="0"/>
              <w:snapToGrid w:val="0"/>
              <w:spacing w:line="460" w:lineRule="exact"/>
              <w:rPr>
                <w:rFonts w:hint="eastAsia" w:ascii="宋体" w:hAnsi="宋体" w:cs="宋体"/>
                <w:sz w:val="24"/>
              </w:rPr>
            </w:pPr>
            <w:r>
              <w:rPr>
                <w:rFonts w:hint="eastAsia" w:ascii="宋体" w:hAnsi="宋体" w:cs="宋体"/>
                <w:sz w:val="24"/>
              </w:rPr>
              <w:t>合计：大写：小写：</w:t>
            </w:r>
          </w:p>
        </w:tc>
      </w:tr>
    </w:tbl>
    <w:p>
      <w:pPr>
        <w:adjustRightInd w:val="0"/>
        <w:snapToGrid w:val="0"/>
        <w:spacing w:line="360" w:lineRule="auto"/>
        <w:rPr>
          <w:rFonts w:hint="eastAsia" w:ascii="宋体" w:hAnsi="宋体" w:cs="宋体"/>
          <w:b/>
          <w:sz w:val="36"/>
          <w:szCs w:val="36"/>
        </w:rPr>
      </w:pPr>
    </w:p>
    <w:p>
      <w:pPr>
        <w:adjustRightInd w:val="0"/>
        <w:snapToGrid w:val="0"/>
        <w:spacing w:line="460" w:lineRule="exact"/>
        <w:rPr>
          <w:rFonts w:hint="eastAsia" w:ascii="宋体" w:hAnsi="宋体" w:cs="宋体"/>
          <w:sz w:val="24"/>
        </w:rPr>
      </w:pPr>
      <w:r>
        <w:rPr>
          <w:rFonts w:hint="eastAsia" w:ascii="宋体" w:hAnsi="宋体" w:cs="宋体"/>
          <w:sz w:val="24"/>
        </w:rPr>
        <w:t>说明：</w:t>
      </w:r>
    </w:p>
    <w:p>
      <w:pPr>
        <w:adjustRightInd w:val="0"/>
        <w:snapToGrid w:val="0"/>
        <w:spacing w:line="460" w:lineRule="exact"/>
        <w:ind w:firstLine="480" w:firstLineChars="200"/>
        <w:rPr>
          <w:rFonts w:hint="eastAsia" w:ascii="宋体" w:hAnsi="宋体" w:cs="宋体"/>
          <w:sz w:val="24"/>
        </w:rPr>
      </w:pPr>
      <w:r>
        <w:rPr>
          <w:rFonts w:hint="eastAsia" w:ascii="宋体" w:hAnsi="宋体" w:cs="宋体"/>
          <w:sz w:val="24"/>
        </w:rPr>
        <w:t>1．分项报价的金额总计必须与首轮报价表的投标总价一致。</w:t>
      </w:r>
    </w:p>
    <w:p>
      <w:pPr>
        <w:adjustRightInd w:val="0"/>
        <w:snapToGrid w:val="0"/>
        <w:spacing w:line="460" w:lineRule="exact"/>
        <w:ind w:left="1521" w:leftChars="267" w:hanging="960" w:hangingChars="400"/>
        <w:rPr>
          <w:rFonts w:hint="eastAsia" w:ascii="宋体" w:hAnsi="宋体" w:cs="宋体"/>
          <w:sz w:val="28"/>
          <w:szCs w:val="28"/>
        </w:rPr>
      </w:pPr>
      <w:r>
        <w:rPr>
          <w:rFonts w:hint="eastAsia" w:ascii="宋体" w:hAnsi="宋体" w:cs="宋体"/>
          <w:sz w:val="24"/>
        </w:rPr>
        <w:t>2．成交后本表将在呼和浩特市政府采购网上进行公示，请各投标供应商认真填写。</w:t>
      </w:r>
    </w:p>
    <w:p>
      <w:pPr>
        <w:pStyle w:val="7"/>
        <w:spacing w:line="440" w:lineRule="exact"/>
        <w:rPr>
          <w:rFonts w:hint="eastAsia" w:hAnsi="宋体" w:cs="宋体"/>
          <w:sz w:val="28"/>
          <w:szCs w:val="28"/>
        </w:rPr>
      </w:pPr>
    </w:p>
    <w:p>
      <w:pPr>
        <w:pStyle w:val="7"/>
        <w:spacing w:line="440" w:lineRule="exact"/>
        <w:rPr>
          <w:rFonts w:hint="eastAsia" w:hAnsi="宋体" w:cs="宋体"/>
          <w:sz w:val="24"/>
          <w:szCs w:val="24"/>
        </w:rPr>
      </w:pPr>
      <w:r>
        <w:rPr>
          <w:rFonts w:hint="eastAsia" w:hAnsi="宋体" w:cs="宋体"/>
          <w:sz w:val="24"/>
          <w:szCs w:val="24"/>
        </w:rPr>
        <w:t>供应商名称（盖章）：</w:t>
      </w:r>
    </w:p>
    <w:p>
      <w:pPr>
        <w:pStyle w:val="7"/>
        <w:spacing w:line="440" w:lineRule="exact"/>
        <w:rPr>
          <w:rFonts w:hint="eastAsia" w:hAnsi="宋体" w:cs="宋体"/>
          <w:sz w:val="24"/>
          <w:szCs w:val="24"/>
        </w:rPr>
      </w:pPr>
    </w:p>
    <w:p>
      <w:pPr>
        <w:pStyle w:val="7"/>
        <w:spacing w:line="440" w:lineRule="exact"/>
        <w:rPr>
          <w:rFonts w:hint="eastAsia" w:hAnsi="宋体" w:cs="宋体" w:eastAsiaTheme="minorEastAsia"/>
          <w:sz w:val="24"/>
          <w:szCs w:val="24"/>
          <w:lang w:eastAsia="zh-CN"/>
        </w:rPr>
      </w:pPr>
      <w:r>
        <w:rPr>
          <w:rFonts w:hint="eastAsia" w:hAnsi="宋体" w:cs="宋体"/>
          <w:sz w:val="24"/>
          <w:szCs w:val="24"/>
        </w:rPr>
        <w:t>法定代表人或授权代表（签字）：</w:t>
      </w:r>
    </w:p>
    <w:p>
      <w:pPr>
        <w:adjustRightInd w:val="0"/>
        <w:snapToGrid w:val="0"/>
        <w:spacing w:line="460" w:lineRule="exact"/>
        <w:rPr>
          <w:rFonts w:hint="eastAsia" w:ascii="宋体" w:hAnsi="宋体" w:cs="宋体"/>
          <w:sz w:val="24"/>
        </w:rPr>
      </w:pPr>
    </w:p>
    <w:p>
      <w:pPr>
        <w:autoSpaceDE w:val="0"/>
        <w:autoSpaceDN w:val="0"/>
        <w:spacing w:line="460" w:lineRule="exact"/>
        <w:jc w:val="center"/>
        <w:rPr>
          <w:rFonts w:hint="eastAsia" w:ascii="宋体" w:hAnsi="宋体" w:cs="宋体"/>
          <w:b/>
          <w:sz w:val="24"/>
        </w:rPr>
      </w:pPr>
      <w:r>
        <w:rPr>
          <w:rFonts w:hint="eastAsia" w:ascii="宋体" w:hAnsi="宋体" w:cs="宋体"/>
          <w:sz w:val="24"/>
        </w:rPr>
        <w:t>年月日</w:t>
      </w:r>
    </w:p>
    <w:p>
      <w:pPr>
        <w:autoSpaceDE w:val="0"/>
        <w:autoSpaceDN w:val="0"/>
        <w:spacing w:line="460" w:lineRule="exact"/>
        <w:rPr>
          <w:rFonts w:hint="eastAsia" w:ascii="宋体" w:hAnsi="宋体" w:cs="宋体"/>
          <w:sz w:val="24"/>
        </w:rPr>
      </w:pPr>
    </w:p>
    <w:p>
      <w:pPr>
        <w:spacing w:line="460" w:lineRule="exact"/>
        <w:rPr>
          <w:rFonts w:hint="eastAsia" w:ascii="宋体" w:hAnsi="宋体" w:cs="宋体"/>
          <w:b/>
          <w:sz w:val="24"/>
        </w:rPr>
      </w:pPr>
      <w:r>
        <w:rPr>
          <w:rFonts w:hint="eastAsia" w:ascii="宋体" w:hAnsi="宋体" w:cs="宋体"/>
          <w:sz w:val="24"/>
        </w:rPr>
        <w:t>格式六</w:t>
      </w:r>
      <w:r>
        <w:rPr>
          <w:rFonts w:hint="eastAsia" w:ascii="宋体" w:hAnsi="宋体" w:cs="宋体"/>
          <w:b/>
          <w:sz w:val="24"/>
        </w:rPr>
        <w:t>：</w:t>
      </w:r>
    </w:p>
    <w:p>
      <w:pPr>
        <w:adjustRightInd w:val="0"/>
        <w:snapToGrid w:val="0"/>
        <w:spacing w:line="360" w:lineRule="auto"/>
        <w:jc w:val="center"/>
        <w:outlineLvl w:val="1"/>
        <w:rPr>
          <w:rFonts w:hint="eastAsia" w:ascii="宋体" w:hAnsi="宋体" w:cs="宋体"/>
          <w:b/>
          <w:sz w:val="28"/>
          <w:szCs w:val="28"/>
        </w:rPr>
      </w:pPr>
      <w:bookmarkStart w:id="93" w:name="_Toc7168"/>
      <w:r>
        <w:rPr>
          <w:rFonts w:hint="eastAsia" w:ascii="宋体" w:hAnsi="宋体" w:cs="宋体"/>
          <w:b/>
          <w:sz w:val="28"/>
          <w:szCs w:val="28"/>
        </w:rPr>
        <w:t>五、投标方案</w:t>
      </w:r>
      <w:bookmarkEnd w:id="93"/>
    </w:p>
    <w:p>
      <w:pPr>
        <w:ind w:right="57"/>
        <w:rPr>
          <w:rFonts w:hint="eastAsia" w:ascii="宋体" w:hAnsi="宋体" w:cs="宋体"/>
          <w:b/>
          <w:sz w:val="28"/>
          <w:szCs w:val="28"/>
        </w:rPr>
      </w:pPr>
    </w:p>
    <w:p>
      <w:pPr>
        <w:ind w:right="57"/>
        <w:rPr>
          <w:rFonts w:hint="eastAsia" w:ascii="宋体" w:hAnsi="宋体" w:cs="宋体"/>
          <w:b/>
          <w:sz w:val="28"/>
          <w:szCs w:val="28"/>
        </w:rPr>
      </w:pPr>
    </w:p>
    <w:p>
      <w:pPr>
        <w:ind w:right="57" w:firstLine="480" w:firstLineChars="200"/>
        <w:rPr>
          <w:rFonts w:hint="eastAsia" w:ascii="宋体" w:hAnsi="宋体" w:cs="宋体" w:eastAsiaTheme="minorEastAsia"/>
          <w:bCs/>
          <w:sz w:val="24"/>
          <w:lang w:eastAsia="zh-CN"/>
        </w:rPr>
      </w:pPr>
      <w:r>
        <w:rPr>
          <w:rFonts w:hint="eastAsia" w:ascii="宋体" w:hAnsi="宋体" w:cs="宋体"/>
          <w:bCs/>
          <w:sz w:val="24"/>
        </w:rPr>
        <w:t>投标方案即服务方案，按本竞争性磋商文件“第三章采购要求”等方面进行编制。</w:t>
      </w:r>
    </w:p>
    <w:p>
      <w:pPr>
        <w:ind w:right="57" w:firstLine="480" w:firstLineChars="200"/>
        <w:rPr>
          <w:rFonts w:hint="eastAsia" w:ascii="宋体" w:hAnsi="宋体" w:cs="宋体"/>
          <w:bCs/>
          <w:sz w:val="24"/>
        </w:rPr>
      </w:pPr>
    </w:p>
    <w:p>
      <w:pPr>
        <w:ind w:right="57" w:firstLine="480" w:firstLineChars="200"/>
        <w:rPr>
          <w:rFonts w:hint="eastAsia" w:ascii="宋体" w:hAnsi="宋体" w:cs="宋体"/>
          <w:bCs/>
          <w:sz w:val="24"/>
        </w:rPr>
      </w:pPr>
      <w:r>
        <w:rPr>
          <w:rFonts w:hint="eastAsia" w:ascii="宋体" w:hAnsi="宋体" w:cs="宋体"/>
          <w:bCs/>
          <w:sz w:val="24"/>
        </w:rPr>
        <w:t>格式自行设计。</w:t>
      </w:r>
    </w:p>
    <w:p>
      <w:pPr>
        <w:spacing w:line="520" w:lineRule="exact"/>
        <w:ind w:right="57"/>
        <w:rPr>
          <w:rFonts w:hint="eastAsia" w:ascii="宋体" w:hAnsi="宋体" w:cs="宋体"/>
          <w:b/>
          <w:sz w:val="28"/>
          <w:szCs w:val="28"/>
        </w:rPr>
      </w:pPr>
    </w:p>
    <w:p>
      <w:pPr>
        <w:ind w:right="57"/>
        <w:rPr>
          <w:rFonts w:hint="eastAsia" w:ascii="宋体" w:hAnsi="宋体" w:cs="宋体"/>
          <w:b/>
          <w:sz w:val="28"/>
          <w:szCs w:val="28"/>
        </w:rPr>
      </w:pPr>
    </w:p>
    <w:p>
      <w:pPr>
        <w:ind w:right="57"/>
        <w:rPr>
          <w:rFonts w:hint="eastAsia" w:ascii="宋体" w:hAnsi="宋体" w:cs="宋体"/>
          <w:b/>
          <w:sz w:val="28"/>
          <w:szCs w:val="28"/>
        </w:rPr>
      </w:pPr>
    </w:p>
    <w:p>
      <w:pPr>
        <w:ind w:right="57"/>
        <w:rPr>
          <w:rFonts w:hint="eastAsia" w:ascii="宋体" w:hAnsi="宋体" w:cs="宋体"/>
          <w:b/>
          <w:sz w:val="28"/>
          <w:szCs w:val="28"/>
        </w:rPr>
      </w:pPr>
    </w:p>
    <w:p>
      <w:pPr>
        <w:ind w:right="57"/>
        <w:rPr>
          <w:rFonts w:hint="eastAsia" w:ascii="宋体" w:hAnsi="宋体" w:cs="宋体"/>
          <w:b/>
          <w:sz w:val="28"/>
          <w:szCs w:val="28"/>
        </w:rPr>
      </w:pPr>
    </w:p>
    <w:p>
      <w:pPr>
        <w:ind w:right="57"/>
        <w:rPr>
          <w:rFonts w:hint="eastAsia" w:ascii="宋体" w:hAnsi="宋体" w:cs="宋体"/>
          <w:b/>
          <w:sz w:val="28"/>
          <w:szCs w:val="28"/>
        </w:rPr>
      </w:pPr>
    </w:p>
    <w:p>
      <w:pPr>
        <w:ind w:right="57"/>
        <w:rPr>
          <w:rFonts w:hint="eastAsia" w:ascii="宋体" w:hAnsi="宋体" w:cs="宋体"/>
          <w:b/>
          <w:sz w:val="28"/>
          <w:szCs w:val="28"/>
        </w:rPr>
      </w:pPr>
    </w:p>
    <w:p>
      <w:pPr>
        <w:ind w:right="57"/>
        <w:rPr>
          <w:rFonts w:hint="eastAsia" w:ascii="宋体" w:hAnsi="宋体" w:cs="宋体"/>
          <w:b/>
          <w:sz w:val="28"/>
          <w:szCs w:val="28"/>
        </w:rPr>
      </w:pPr>
    </w:p>
    <w:p>
      <w:pPr>
        <w:ind w:right="57"/>
        <w:rPr>
          <w:rFonts w:hint="eastAsia" w:ascii="宋体" w:hAnsi="宋体" w:cs="宋体"/>
          <w:b/>
          <w:sz w:val="28"/>
          <w:szCs w:val="28"/>
        </w:rPr>
      </w:pPr>
    </w:p>
    <w:p>
      <w:pPr>
        <w:ind w:right="57"/>
        <w:rPr>
          <w:rFonts w:hint="eastAsia" w:ascii="宋体" w:hAnsi="宋体" w:cs="宋体"/>
          <w:b/>
          <w:sz w:val="28"/>
          <w:szCs w:val="28"/>
        </w:rPr>
      </w:pPr>
    </w:p>
    <w:p>
      <w:pPr>
        <w:pStyle w:val="7"/>
        <w:spacing w:line="440" w:lineRule="exact"/>
        <w:rPr>
          <w:rFonts w:hint="eastAsia" w:hAnsi="宋体" w:cs="宋体"/>
          <w:sz w:val="24"/>
          <w:szCs w:val="24"/>
        </w:rPr>
      </w:pPr>
      <w:r>
        <w:rPr>
          <w:rFonts w:hint="eastAsia" w:hAnsi="宋体" w:cs="宋体"/>
          <w:sz w:val="24"/>
          <w:szCs w:val="24"/>
        </w:rPr>
        <w:t>供应商名称：（盖章）</w:t>
      </w:r>
    </w:p>
    <w:p>
      <w:pPr>
        <w:pStyle w:val="7"/>
        <w:spacing w:line="440" w:lineRule="exact"/>
        <w:rPr>
          <w:rFonts w:hint="eastAsia" w:hAnsi="宋体" w:cs="宋体"/>
          <w:sz w:val="24"/>
          <w:szCs w:val="24"/>
        </w:rPr>
      </w:pPr>
    </w:p>
    <w:p>
      <w:pPr>
        <w:pStyle w:val="7"/>
        <w:spacing w:line="440" w:lineRule="exact"/>
        <w:rPr>
          <w:rFonts w:hint="eastAsia" w:hAnsi="宋体" w:cs="宋体" w:eastAsiaTheme="minorEastAsia"/>
          <w:sz w:val="24"/>
          <w:szCs w:val="24"/>
          <w:lang w:eastAsia="zh-CN"/>
        </w:rPr>
      </w:pPr>
      <w:r>
        <w:rPr>
          <w:rFonts w:hint="eastAsia" w:hAnsi="宋体" w:cs="宋体"/>
          <w:sz w:val="24"/>
          <w:szCs w:val="24"/>
        </w:rPr>
        <w:t>法定代表人或授权代表：（签字）</w:t>
      </w:r>
    </w:p>
    <w:p>
      <w:pPr>
        <w:adjustRightInd w:val="0"/>
        <w:snapToGrid w:val="0"/>
        <w:spacing w:line="460" w:lineRule="exact"/>
        <w:rPr>
          <w:rFonts w:hint="eastAsia" w:ascii="宋体" w:hAnsi="宋体" w:cs="宋体"/>
          <w:sz w:val="24"/>
        </w:rPr>
      </w:pPr>
    </w:p>
    <w:p>
      <w:pPr>
        <w:autoSpaceDE w:val="0"/>
        <w:autoSpaceDN w:val="0"/>
        <w:spacing w:line="460" w:lineRule="exact"/>
        <w:jc w:val="center"/>
        <w:rPr>
          <w:rFonts w:hint="eastAsia" w:ascii="宋体" w:hAnsi="宋体" w:cs="宋体"/>
          <w:sz w:val="24"/>
        </w:rPr>
      </w:pPr>
      <w:r>
        <w:rPr>
          <w:rFonts w:hint="eastAsia" w:ascii="宋体" w:hAnsi="宋体" w:cs="宋体"/>
          <w:sz w:val="24"/>
        </w:rPr>
        <w:t>年月日</w:t>
      </w:r>
    </w:p>
    <w:p>
      <w:pPr>
        <w:autoSpaceDE w:val="0"/>
        <w:autoSpaceDN w:val="0"/>
        <w:spacing w:line="460" w:lineRule="exact"/>
        <w:jc w:val="center"/>
        <w:rPr>
          <w:rFonts w:hint="eastAsia" w:ascii="宋体" w:hAnsi="宋体" w:cs="宋体"/>
          <w:sz w:val="24"/>
        </w:rPr>
      </w:pPr>
    </w:p>
    <w:p>
      <w:pPr>
        <w:adjustRightInd w:val="0"/>
        <w:snapToGrid w:val="0"/>
        <w:spacing w:line="360" w:lineRule="auto"/>
        <w:jc w:val="left"/>
        <w:rPr>
          <w:rFonts w:hint="eastAsia" w:ascii="宋体" w:hAnsi="宋体" w:cs="宋体"/>
          <w:sz w:val="24"/>
        </w:rPr>
      </w:pPr>
    </w:p>
    <w:p>
      <w:pPr>
        <w:adjustRightInd w:val="0"/>
        <w:snapToGrid w:val="0"/>
        <w:spacing w:line="360" w:lineRule="auto"/>
        <w:jc w:val="left"/>
        <w:rPr>
          <w:rFonts w:hint="eastAsia" w:ascii="宋体" w:hAnsi="宋体" w:cs="宋体"/>
          <w:b/>
          <w:sz w:val="28"/>
          <w:szCs w:val="28"/>
        </w:rPr>
      </w:pPr>
      <w:r>
        <w:rPr>
          <w:rFonts w:hint="eastAsia" w:ascii="宋体" w:hAnsi="宋体" w:cs="宋体"/>
          <w:sz w:val="24"/>
        </w:rPr>
        <w:t>格式七</w:t>
      </w:r>
      <w:r>
        <w:rPr>
          <w:rFonts w:hint="eastAsia" w:ascii="宋体" w:hAnsi="宋体" w:cs="宋体"/>
          <w:bCs/>
          <w:sz w:val="24"/>
        </w:rPr>
        <w:t>：</w:t>
      </w:r>
    </w:p>
    <w:p>
      <w:pPr>
        <w:adjustRightInd w:val="0"/>
        <w:snapToGrid w:val="0"/>
        <w:spacing w:line="360" w:lineRule="auto"/>
        <w:jc w:val="center"/>
        <w:outlineLvl w:val="1"/>
        <w:rPr>
          <w:rFonts w:hint="eastAsia" w:ascii="宋体" w:hAnsi="宋体" w:cs="宋体"/>
          <w:b/>
          <w:sz w:val="28"/>
          <w:szCs w:val="28"/>
        </w:rPr>
      </w:pPr>
      <w:bookmarkStart w:id="94" w:name="_Toc24529"/>
      <w:bookmarkStart w:id="95" w:name="_Toc22595"/>
      <w:bookmarkStart w:id="96" w:name="_Toc26748"/>
      <w:r>
        <w:rPr>
          <w:rFonts w:hint="eastAsia" w:ascii="宋体" w:hAnsi="宋体" w:cs="宋体"/>
          <w:b/>
          <w:sz w:val="28"/>
          <w:szCs w:val="28"/>
        </w:rPr>
        <w:t>六、本项目拟投入的设备及人员配置</w:t>
      </w:r>
      <w:bookmarkEnd w:id="94"/>
      <w:bookmarkEnd w:id="95"/>
      <w:bookmarkEnd w:id="96"/>
    </w:p>
    <w:p>
      <w:pPr>
        <w:spacing w:line="460" w:lineRule="exact"/>
        <w:jc w:val="center"/>
        <w:rPr>
          <w:rFonts w:hint="eastAsia" w:ascii="宋体" w:hAnsi="宋体" w:cs="宋体"/>
          <w:sz w:val="28"/>
          <w:szCs w:val="28"/>
        </w:rPr>
      </w:pPr>
    </w:p>
    <w:p>
      <w:pPr>
        <w:spacing w:line="460" w:lineRule="exact"/>
        <w:rPr>
          <w:rFonts w:hint="eastAsia" w:ascii="宋体" w:hAnsi="宋体" w:cs="宋体"/>
          <w:sz w:val="24"/>
        </w:rPr>
      </w:pPr>
      <w:r>
        <w:rPr>
          <w:rFonts w:hint="eastAsia" w:ascii="宋体" w:hAnsi="宋体" w:cs="宋体"/>
          <w:sz w:val="24"/>
        </w:rPr>
        <w:t>供应商应列出开展本项目工作拟投入的设备及人员配置状况，并附相关技术人员的身份证、职称证、岗位证书等资料。</w:t>
      </w:r>
    </w:p>
    <w:p>
      <w:pPr>
        <w:spacing w:line="460" w:lineRule="exact"/>
        <w:jc w:val="center"/>
        <w:rPr>
          <w:rFonts w:hint="eastAsia" w:ascii="宋体" w:hAnsi="宋体" w:cs="宋体"/>
          <w:sz w:val="24"/>
        </w:rPr>
      </w:pPr>
    </w:p>
    <w:p>
      <w:pPr>
        <w:spacing w:line="460" w:lineRule="exact"/>
        <w:rPr>
          <w:rFonts w:hint="eastAsia" w:ascii="宋体" w:hAnsi="宋体" w:cs="宋体"/>
          <w:sz w:val="24"/>
        </w:rPr>
      </w:pPr>
      <w:r>
        <w:rPr>
          <w:rFonts w:hint="eastAsia" w:ascii="宋体" w:hAnsi="宋体" w:cs="宋体"/>
          <w:sz w:val="24"/>
        </w:rPr>
        <w:t>格式自行设计。</w:t>
      </w:r>
    </w:p>
    <w:p>
      <w:pPr>
        <w:spacing w:line="460" w:lineRule="exact"/>
        <w:jc w:val="center"/>
        <w:rPr>
          <w:rFonts w:hint="eastAsia" w:ascii="宋体" w:hAnsi="宋体" w:cs="宋体"/>
          <w:sz w:val="28"/>
          <w:szCs w:val="28"/>
        </w:rPr>
      </w:pPr>
    </w:p>
    <w:p>
      <w:pPr>
        <w:spacing w:line="460" w:lineRule="exact"/>
        <w:jc w:val="center"/>
        <w:rPr>
          <w:rFonts w:hint="eastAsia" w:ascii="宋体" w:hAnsi="宋体" w:cs="宋体"/>
          <w:sz w:val="28"/>
          <w:szCs w:val="28"/>
        </w:rPr>
      </w:pPr>
    </w:p>
    <w:p>
      <w:pPr>
        <w:spacing w:line="460" w:lineRule="exact"/>
        <w:jc w:val="center"/>
        <w:rPr>
          <w:rFonts w:hint="eastAsia" w:ascii="宋体" w:hAnsi="宋体" w:cs="宋体"/>
          <w:sz w:val="28"/>
          <w:szCs w:val="28"/>
        </w:rPr>
      </w:pPr>
    </w:p>
    <w:p>
      <w:pPr>
        <w:spacing w:line="460" w:lineRule="exact"/>
        <w:jc w:val="center"/>
        <w:rPr>
          <w:rFonts w:hint="eastAsia" w:ascii="宋体" w:hAnsi="宋体" w:cs="宋体"/>
          <w:sz w:val="28"/>
          <w:szCs w:val="28"/>
        </w:rPr>
      </w:pPr>
    </w:p>
    <w:p>
      <w:pPr>
        <w:spacing w:line="460" w:lineRule="exact"/>
        <w:jc w:val="center"/>
        <w:rPr>
          <w:rFonts w:hint="eastAsia" w:ascii="宋体" w:hAnsi="宋体" w:cs="宋体"/>
          <w:sz w:val="28"/>
          <w:szCs w:val="28"/>
        </w:rPr>
      </w:pPr>
    </w:p>
    <w:p>
      <w:pPr>
        <w:spacing w:line="460" w:lineRule="exact"/>
        <w:jc w:val="center"/>
        <w:rPr>
          <w:rFonts w:hint="eastAsia" w:ascii="宋体" w:hAnsi="宋体" w:cs="宋体"/>
          <w:sz w:val="28"/>
          <w:szCs w:val="28"/>
        </w:rPr>
      </w:pPr>
    </w:p>
    <w:p>
      <w:pPr>
        <w:spacing w:line="460" w:lineRule="exact"/>
        <w:jc w:val="center"/>
        <w:rPr>
          <w:rFonts w:hint="eastAsia" w:ascii="宋体" w:hAnsi="宋体" w:cs="宋体"/>
          <w:sz w:val="28"/>
          <w:szCs w:val="28"/>
        </w:rPr>
      </w:pPr>
    </w:p>
    <w:p>
      <w:pPr>
        <w:pStyle w:val="7"/>
        <w:spacing w:line="440" w:lineRule="exact"/>
        <w:rPr>
          <w:rFonts w:hint="eastAsia" w:hAnsi="宋体" w:cs="宋体"/>
          <w:sz w:val="28"/>
          <w:szCs w:val="28"/>
        </w:rPr>
      </w:pPr>
    </w:p>
    <w:p>
      <w:pPr>
        <w:pStyle w:val="7"/>
        <w:spacing w:line="440" w:lineRule="exact"/>
        <w:rPr>
          <w:rFonts w:hint="eastAsia" w:hAnsi="宋体" w:cs="宋体"/>
          <w:sz w:val="28"/>
          <w:szCs w:val="28"/>
        </w:rPr>
      </w:pPr>
    </w:p>
    <w:p>
      <w:pPr>
        <w:pStyle w:val="7"/>
        <w:spacing w:line="440" w:lineRule="exact"/>
        <w:rPr>
          <w:rFonts w:hint="eastAsia" w:hAnsi="宋体" w:cs="宋体"/>
          <w:sz w:val="24"/>
          <w:szCs w:val="24"/>
        </w:rPr>
      </w:pPr>
      <w:r>
        <w:rPr>
          <w:rFonts w:hint="eastAsia" w:hAnsi="宋体" w:cs="宋体"/>
          <w:sz w:val="24"/>
          <w:szCs w:val="24"/>
        </w:rPr>
        <w:t>供应商名称：（盖章）</w:t>
      </w:r>
    </w:p>
    <w:p>
      <w:pPr>
        <w:pStyle w:val="7"/>
        <w:spacing w:line="440" w:lineRule="exact"/>
        <w:rPr>
          <w:rFonts w:hint="eastAsia" w:hAnsi="宋体" w:cs="宋体"/>
          <w:sz w:val="24"/>
          <w:szCs w:val="24"/>
        </w:rPr>
      </w:pPr>
    </w:p>
    <w:p>
      <w:pPr>
        <w:pStyle w:val="7"/>
        <w:spacing w:line="440" w:lineRule="exact"/>
        <w:rPr>
          <w:rFonts w:hint="eastAsia" w:hAnsi="宋体" w:cs="宋体" w:eastAsiaTheme="minorEastAsia"/>
          <w:sz w:val="24"/>
          <w:szCs w:val="24"/>
          <w:lang w:eastAsia="zh-CN"/>
        </w:rPr>
      </w:pPr>
      <w:r>
        <w:rPr>
          <w:rFonts w:hint="eastAsia" w:hAnsi="宋体" w:cs="宋体"/>
          <w:sz w:val="24"/>
          <w:szCs w:val="24"/>
        </w:rPr>
        <w:t>法定代表人或授权代表：（签字）</w:t>
      </w:r>
    </w:p>
    <w:p>
      <w:pPr>
        <w:adjustRightInd w:val="0"/>
        <w:snapToGrid w:val="0"/>
        <w:spacing w:line="460" w:lineRule="exact"/>
        <w:rPr>
          <w:rFonts w:hint="eastAsia" w:ascii="宋体" w:hAnsi="宋体" w:cs="宋体"/>
          <w:sz w:val="24"/>
        </w:rPr>
      </w:pPr>
    </w:p>
    <w:p>
      <w:pPr>
        <w:autoSpaceDE w:val="0"/>
        <w:autoSpaceDN w:val="0"/>
        <w:spacing w:line="460" w:lineRule="exact"/>
        <w:jc w:val="center"/>
        <w:rPr>
          <w:rFonts w:hint="eastAsia" w:ascii="宋体" w:hAnsi="宋体" w:cs="宋体"/>
          <w:sz w:val="24"/>
        </w:rPr>
      </w:pPr>
      <w:r>
        <w:rPr>
          <w:rFonts w:hint="eastAsia" w:ascii="宋体" w:hAnsi="宋体" w:cs="宋体"/>
          <w:sz w:val="24"/>
        </w:rPr>
        <w:t>年月日</w:t>
      </w:r>
    </w:p>
    <w:p>
      <w:pPr>
        <w:autoSpaceDE w:val="0"/>
        <w:autoSpaceDN w:val="0"/>
        <w:spacing w:line="460" w:lineRule="exact"/>
        <w:jc w:val="center"/>
        <w:rPr>
          <w:rFonts w:hint="eastAsia" w:ascii="宋体" w:hAnsi="宋体" w:cs="宋体"/>
          <w:sz w:val="24"/>
        </w:rPr>
      </w:pPr>
    </w:p>
    <w:p>
      <w:pPr>
        <w:autoSpaceDE w:val="0"/>
        <w:autoSpaceDN w:val="0"/>
        <w:spacing w:line="460" w:lineRule="exact"/>
        <w:jc w:val="center"/>
        <w:rPr>
          <w:rFonts w:hint="eastAsia" w:ascii="宋体" w:hAnsi="宋体" w:cs="宋体"/>
          <w:sz w:val="24"/>
        </w:rPr>
      </w:pPr>
    </w:p>
    <w:p>
      <w:pPr>
        <w:autoSpaceDE w:val="0"/>
        <w:autoSpaceDN w:val="0"/>
        <w:spacing w:line="460" w:lineRule="exact"/>
        <w:jc w:val="center"/>
        <w:rPr>
          <w:rFonts w:hint="eastAsia" w:ascii="宋体" w:hAnsi="宋体" w:cs="宋体"/>
          <w:sz w:val="24"/>
        </w:rPr>
      </w:pPr>
    </w:p>
    <w:p>
      <w:pPr>
        <w:autoSpaceDE w:val="0"/>
        <w:autoSpaceDN w:val="0"/>
        <w:spacing w:line="460" w:lineRule="exact"/>
        <w:jc w:val="center"/>
        <w:rPr>
          <w:rFonts w:hint="eastAsia" w:ascii="宋体" w:hAnsi="宋体" w:cs="宋体"/>
          <w:sz w:val="24"/>
        </w:rPr>
      </w:pPr>
    </w:p>
    <w:p>
      <w:pPr>
        <w:autoSpaceDE w:val="0"/>
        <w:autoSpaceDN w:val="0"/>
        <w:spacing w:line="460" w:lineRule="exact"/>
        <w:jc w:val="center"/>
        <w:rPr>
          <w:rFonts w:hint="eastAsia" w:ascii="宋体" w:hAnsi="宋体" w:cs="宋体"/>
          <w:sz w:val="24"/>
        </w:rPr>
      </w:pPr>
    </w:p>
    <w:p>
      <w:pPr>
        <w:autoSpaceDE w:val="0"/>
        <w:autoSpaceDN w:val="0"/>
        <w:spacing w:line="460" w:lineRule="exact"/>
        <w:jc w:val="center"/>
        <w:rPr>
          <w:rFonts w:hint="eastAsia" w:ascii="宋体" w:hAnsi="宋体" w:cs="宋体"/>
          <w:sz w:val="24"/>
        </w:rPr>
      </w:pPr>
    </w:p>
    <w:p>
      <w:pPr>
        <w:autoSpaceDE w:val="0"/>
        <w:autoSpaceDN w:val="0"/>
        <w:spacing w:line="460" w:lineRule="exact"/>
        <w:jc w:val="center"/>
        <w:rPr>
          <w:rFonts w:hint="eastAsia" w:ascii="宋体" w:hAnsi="宋体" w:cs="宋体"/>
          <w:sz w:val="24"/>
        </w:rPr>
      </w:pPr>
    </w:p>
    <w:p>
      <w:pPr>
        <w:autoSpaceDE w:val="0"/>
        <w:autoSpaceDN w:val="0"/>
        <w:spacing w:line="460" w:lineRule="exact"/>
        <w:jc w:val="both"/>
        <w:rPr>
          <w:rFonts w:hint="eastAsia" w:ascii="宋体" w:hAnsi="宋体" w:cs="宋体"/>
          <w:sz w:val="24"/>
        </w:rPr>
      </w:pPr>
    </w:p>
    <w:p>
      <w:pPr>
        <w:spacing w:line="460" w:lineRule="exact"/>
        <w:rPr>
          <w:rFonts w:hint="eastAsia" w:ascii="宋体" w:hAnsi="宋体" w:cs="宋体"/>
          <w:bCs/>
          <w:sz w:val="24"/>
        </w:rPr>
      </w:pPr>
      <w:r>
        <w:rPr>
          <w:rFonts w:hint="eastAsia" w:ascii="宋体" w:hAnsi="宋体" w:cs="宋体"/>
          <w:sz w:val="24"/>
        </w:rPr>
        <w:t>格式八</w:t>
      </w:r>
      <w:r>
        <w:rPr>
          <w:rFonts w:hint="eastAsia" w:ascii="宋体" w:hAnsi="宋体" w:cs="宋体"/>
          <w:bCs/>
          <w:sz w:val="24"/>
        </w:rPr>
        <w:t>：</w:t>
      </w:r>
    </w:p>
    <w:p>
      <w:pPr>
        <w:adjustRightInd w:val="0"/>
        <w:snapToGrid w:val="0"/>
        <w:spacing w:line="360" w:lineRule="auto"/>
        <w:jc w:val="center"/>
        <w:outlineLvl w:val="1"/>
        <w:rPr>
          <w:rFonts w:hint="eastAsia" w:ascii="宋体" w:hAnsi="宋体" w:cs="宋体"/>
          <w:b/>
          <w:sz w:val="28"/>
          <w:szCs w:val="28"/>
        </w:rPr>
      </w:pPr>
      <w:bookmarkStart w:id="97" w:name="_Toc14206"/>
      <w:bookmarkStart w:id="98" w:name="_Toc13072"/>
      <w:bookmarkStart w:id="99" w:name="_Toc21842"/>
      <w:r>
        <w:rPr>
          <w:rFonts w:hint="eastAsia" w:ascii="宋体" w:hAnsi="宋体" w:cs="宋体"/>
          <w:b/>
          <w:sz w:val="28"/>
          <w:szCs w:val="28"/>
        </w:rPr>
        <w:t>七、供应商基本情况登记表</w:t>
      </w:r>
      <w:bookmarkEnd w:id="97"/>
      <w:bookmarkEnd w:id="98"/>
      <w:bookmarkEnd w:id="99"/>
    </w:p>
    <w:p>
      <w:pPr>
        <w:autoSpaceDE w:val="0"/>
        <w:autoSpaceDN w:val="0"/>
        <w:spacing w:line="460" w:lineRule="exact"/>
        <w:jc w:val="center"/>
        <w:rPr>
          <w:rFonts w:hint="eastAsia" w:ascii="宋体" w:hAnsi="宋体" w:cs="宋体"/>
          <w:b/>
          <w:sz w:val="36"/>
          <w:szCs w:val="36"/>
        </w:rPr>
      </w:pP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18"/>
        <w:gridCol w:w="1064"/>
        <w:gridCol w:w="2379"/>
        <w:gridCol w:w="1596"/>
        <w:gridCol w:w="1392"/>
        <w:gridCol w:w="13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918" w:type="dxa"/>
            <w:noWrap w:val="0"/>
            <w:vAlign w:val="center"/>
          </w:tcPr>
          <w:p>
            <w:pPr>
              <w:jc w:val="center"/>
              <w:rPr>
                <w:rFonts w:hint="eastAsia" w:ascii="宋体" w:hAnsi="宋体" w:cs="宋体"/>
                <w:sz w:val="24"/>
              </w:rPr>
            </w:pPr>
            <w:r>
              <w:rPr>
                <w:rFonts w:hint="eastAsia" w:ascii="宋体" w:hAnsi="宋体" w:cs="宋体"/>
                <w:sz w:val="24"/>
              </w:rPr>
              <w:t>供应商全称</w:t>
            </w:r>
          </w:p>
        </w:tc>
        <w:tc>
          <w:tcPr>
            <w:tcW w:w="7822" w:type="dxa"/>
            <w:gridSpan w:val="5"/>
            <w:noWrap w:val="0"/>
            <w:vAlign w:val="top"/>
          </w:tcPr>
          <w:p>
            <w:pPr>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918" w:type="dxa"/>
            <w:noWrap w:val="0"/>
            <w:vAlign w:val="center"/>
          </w:tcPr>
          <w:p>
            <w:pPr>
              <w:jc w:val="center"/>
              <w:rPr>
                <w:rFonts w:hint="eastAsia" w:ascii="宋体" w:hAnsi="宋体" w:cs="宋体"/>
                <w:sz w:val="24"/>
              </w:rPr>
            </w:pPr>
            <w:r>
              <w:rPr>
                <w:rFonts w:hint="eastAsia" w:ascii="宋体" w:hAnsi="宋体" w:cs="宋体"/>
                <w:sz w:val="24"/>
              </w:rPr>
              <w:t>注册地址</w:t>
            </w:r>
          </w:p>
        </w:tc>
        <w:tc>
          <w:tcPr>
            <w:tcW w:w="3443" w:type="dxa"/>
            <w:gridSpan w:val="2"/>
            <w:noWrap w:val="0"/>
            <w:vAlign w:val="top"/>
          </w:tcPr>
          <w:p>
            <w:pPr>
              <w:rPr>
                <w:rFonts w:hint="eastAsia" w:ascii="宋体" w:hAnsi="宋体" w:cs="宋体"/>
                <w:sz w:val="24"/>
              </w:rPr>
            </w:pPr>
          </w:p>
        </w:tc>
        <w:tc>
          <w:tcPr>
            <w:tcW w:w="1596" w:type="dxa"/>
            <w:noWrap w:val="0"/>
            <w:vAlign w:val="center"/>
          </w:tcPr>
          <w:p>
            <w:pPr>
              <w:jc w:val="center"/>
              <w:rPr>
                <w:rFonts w:hint="eastAsia" w:ascii="宋体" w:hAnsi="宋体" w:cs="宋体"/>
                <w:sz w:val="24"/>
              </w:rPr>
            </w:pPr>
            <w:r>
              <w:rPr>
                <w:rFonts w:hint="eastAsia" w:ascii="宋体" w:hAnsi="宋体" w:cs="宋体"/>
                <w:sz w:val="24"/>
              </w:rPr>
              <w:t>邮政编码</w:t>
            </w:r>
          </w:p>
        </w:tc>
        <w:tc>
          <w:tcPr>
            <w:tcW w:w="2783" w:type="dxa"/>
            <w:gridSpan w:val="2"/>
            <w:noWrap w:val="0"/>
            <w:vAlign w:val="top"/>
          </w:tcPr>
          <w:p>
            <w:pPr>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918" w:type="dxa"/>
            <w:noWrap w:val="0"/>
            <w:vAlign w:val="center"/>
          </w:tcPr>
          <w:p>
            <w:pPr>
              <w:jc w:val="center"/>
              <w:rPr>
                <w:rFonts w:hint="eastAsia" w:ascii="宋体" w:hAnsi="宋体" w:cs="宋体"/>
                <w:sz w:val="24"/>
              </w:rPr>
            </w:pPr>
            <w:r>
              <w:rPr>
                <w:rFonts w:hint="eastAsia" w:ascii="宋体" w:hAnsi="宋体" w:cs="宋体"/>
                <w:sz w:val="24"/>
              </w:rPr>
              <w:t>联系方式</w:t>
            </w:r>
          </w:p>
        </w:tc>
        <w:tc>
          <w:tcPr>
            <w:tcW w:w="1064" w:type="dxa"/>
            <w:noWrap w:val="0"/>
            <w:vAlign w:val="center"/>
          </w:tcPr>
          <w:p>
            <w:pPr>
              <w:jc w:val="center"/>
              <w:rPr>
                <w:rFonts w:hint="eastAsia" w:ascii="宋体" w:hAnsi="宋体" w:cs="宋体"/>
                <w:sz w:val="24"/>
              </w:rPr>
            </w:pPr>
            <w:r>
              <w:rPr>
                <w:rFonts w:hint="eastAsia" w:ascii="宋体" w:hAnsi="宋体" w:cs="宋体"/>
                <w:sz w:val="24"/>
              </w:rPr>
              <w:t>联系人</w:t>
            </w:r>
          </w:p>
        </w:tc>
        <w:tc>
          <w:tcPr>
            <w:tcW w:w="2379" w:type="dxa"/>
            <w:noWrap w:val="0"/>
            <w:vAlign w:val="top"/>
          </w:tcPr>
          <w:p>
            <w:pPr>
              <w:rPr>
                <w:rFonts w:hint="eastAsia" w:ascii="宋体" w:hAnsi="宋体" w:cs="宋体"/>
                <w:sz w:val="24"/>
              </w:rPr>
            </w:pPr>
          </w:p>
        </w:tc>
        <w:tc>
          <w:tcPr>
            <w:tcW w:w="1596" w:type="dxa"/>
            <w:noWrap w:val="0"/>
            <w:vAlign w:val="center"/>
          </w:tcPr>
          <w:p>
            <w:pPr>
              <w:jc w:val="center"/>
              <w:rPr>
                <w:rFonts w:hint="eastAsia" w:ascii="宋体" w:hAnsi="宋体" w:cs="宋体"/>
                <w:sz w:val="24"/>
              </w:rPr>
            </w:pPr>
            <w:r>
              <w:rPr>
                <w:rFonts w:hint="eastAsia" w:ascii="宋体" w:hAnsi="宋体" w:cs="宋体"/>
                <w:sz w:val="24"/>
              </w:rPr>
              <w:t>电话</w:t>
            </w:r>
          </w:p>
        </w:tc>
        <w:tc>
          <w:tcPr>
            <w:tcW w:w="1392" w:type="dxa"/>
            <w:noWrap w:val="0"/>
            <w:vAlign w:val="top"/>
          </w:tcPr>
          <w:p>
            <w:pPr>
              <w:rPr>
                <w:rFonts w:hint="eastAsia" w:ascii="宋体" w:hAnsi="宋体" w:cs="宋体"/>
                <w:sz w:val="24"/>
              </w:rPr>
            </w:pPr>
          </w:p>
        </w:tc>
        <w:tc>
          <w:tcPr>
            <w:tcW w:w="1391" w:type="dxa"/>
            <w:noWrap w:val="0"/>
            <w:vAlign w:val="top"/>
          </w:tcPr>
          <w:p>
            <w:pPr>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918" w:type="dxa"/>
            <w:noWrap w:val="0"/>
            <w:vAlign w:val="center"/>
          </w:tcPr>
          <w:p>
            <w:pPr>
              <w:jc w:val="center"/>
              <w:rPr>
                <w:rFonts w:hint="eastAsia" w:ascii="宋体" w:hAnsi="宋体" w:cs="宋体"/>
                <w:sz w:val="24"/>
              </w:rPr>
            </w:pPr>
            <w:r>
              <w:rPr>
                <w:rFonts w:hint="eastAsia" w:ascii="宋体" w:hAnsi="宋体" w:cs="宋体"/>
                <w:sz w:val="24"/>
              </w:rPr>
              <w:t>法定代表人</w:t>
            </w:r>
          </w:p>
        </w:tc>
        <w:tc>
          <w:tcPr>
            <w:tcW w:w="3443" w:type="dxa"/>
            <w:gridSpan w:val="2"/>
            <w:noWrap w:val="0"/>
            <w:vAlign w:val="center"/>
          </w:tcPr>
          <w:p>
            <w:pPr>
              <w:rPr>
                <w:rFonts w:hint="eastAsia" w:ascii="宋体" w:hAnsi="宋体" w:cs="宋体"/>
                <w:sz w:val="24"/>
              </w:rPr>
            </w:pPr>
          </w:p>
        </w:tc>
        <w:tc>
          <w:tcPr>
            <w:tcW w:w="1596" w:type="dxa"/>
            <w:noWrap w:val="0"/>
            <w:vAlign w:val="center"/>
          </w:tcPr>
          <w:p>
            <w:pPr>
              <w:jc w:val="center"/>
              <w:rPr>
                <w:rFonts w:hint="eastAsia" w:ascii="宋体" w:hAnsi="宋体" w:cs="宋体"/>
                <w:sz w:val="24"/>
              </w:rPr>
            </w:pPr>
            <w:r>
              <w:rPr>
                <w:rFonts w:hint="eastAsia" w:ascii="宋体" w:hAnsi="宋体" w:cs="宋体"/>
                <w:sz w:val="24"/>
              </w:rPr>
              <w:t>注册资本</w:t>
            </w:r>
          </w:p>
        </w:tc>
        <w:tc>
          <w:tcPr>
            <w:tcW w:w="2783" w:type="dxa"/>
            <w:gridSpan w:val="2"/>
            <w:noWrap w:val="0"/>
            <w:vAlign w:val="top"/>
          </w:tcPr>
          <w:p>
            <w:pPr>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54" w:hRule="atLeast"/>
          <w:jc w:val="center"/>
        </w:trPr>
        <w:tc>
          <w:tcPr>
            <w:tcW w:w="1918" w:type="dxa"/>
            <w:noWrap w:val="0"/>
            <w:vAlign w:val="center"/>
          </w:tcPr>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ind w:firstLine="480" w:firstLineChars="200"/>
              <w:jc w:val="center"/>
              <w:rPr>
                <w:rFonts w:hint="eastAsia" w:ascii="宋体" w:hAnsi="宋体" w:cs="宋体"/>
                <w:sz w:val="24"/>
              </w:rPr>
            </w:pPr>
            <w:r>
              <w:rPr>
                <w:rFonts w:hint="eastAsia" w:ascii="宋体" w:hAnsi="宋体" w:cs="宋体"/>
                <w:sz w:val="24"/>
              </w:rPr>
              <w:t>经营范围</w:t>
            </w: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tc>
        <w:tc>
          <w:tcPr>
            <w:tcW w:w="7822" w:type="dxa"/>
            <w:gridSpan w:val="5"/>
            <w:noWrap w:val="0"/>
            <w:vAlign w:val="center"/>
          </w:tcPr>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tc>
      </w:tr>
    </w:tbl>
    <w:p>
      <w:pPr>
        <w:spacing w:line="320" w:lineRule="atLeast"/>
        <w:rPr>
          <w:rFonts w:hint="eastAsia" w:ascii="宋体" w:hAnsi="宋体" w:cs="宋体"/>
          <w:sz w:val="28"/>
          <w:szCs w:val="28"/>
        </w:rPr>
      </w:pPr>
    </w:p>
    <w:p>
      <w:pPr>
        <w:spacing w:line="320" w:lineRule="atLeast"/>
        <w:ind w:firstLine="360" w:firstLineChars="150"/>
        <w:rPr>
          <w:rFonts w:hint="eastAsia" w:ascii="宋体" w:hAnsi="宋体" w:cs="宋体"/>
          <w:sz w:val="24"/>
          <w:u w:val="single"/>
        </w:rPr>
      </w:pPr>
      <w:r>
        <w:rPr>
          <w:rFonts w:hint="eastAsia" w:ascii="宋体" w:hAnsi="宋体" w:cs="宋体"/>
          <w:sz w:val="24"/>
        </w:rPr>
        <w:t>供应商：</w:t>
      </w:r>
      <w:r>
        <w:rPr>
          <w:rFonts w:hint="eastAsia" w:ascii="宋体" w:hAnsi="宋体" w:cs="宋体"/>
          <w:sz w:val="24"/>
          <w:u w:val="single"/>
        </w:rPr>
        <w:t>（盖章）</w:t>
      </w:r>
    </w:p>
    <w:p>
      <w:pPr>
        <w:spacing w:line="320" w:lineRule="atLeast"/>
        <w:ind w:firstLine="360" w:firstLineChars="150"/>
        <w:rPr>
          <w:rFonts w:hint="eastAsia" w:ascii="宋体" w:hAnsi="宋体" w:cs="宋体"/>
          <w:sz w:val="24"/>
          <w:u w:val="single"/>
        </w:rPr>
      </w:pPr>
    </w:p>
    <w:p>
      <w:pPr>
        <w:spacing w:line="360" w:lineRule="auto"/>
        <w:ind w:firstLine="360" w:firstLineChars="150"/>
        <w:rPr>
          <w:rFonts w:hint="eastAsia" w:ascii="宋体" w:hAnsi="宋体" w:cs="宋体" w:eastAsiaTheme="minorEastAsia"/>
          <w:sz w:val="24"/>
          <w:lang w:eastAsia="zh-CN"/>
        </w:rPr>
      </w:pPr>
      <w:r>
        <w:rPr>
          <w:rFonts w:hint="eastAsia" w:ascii="宋体" w:hAnsi="宋体" w:cs="宋体"/>
          <w:sz w:val="24"/>
        </w:rPr>
        <w:t>法定代表人或授权代表：（签字）</w:t>
      </w:r>
    </w:p>
    <w:p>
      <w:pPr>
        <w:rPr>
          <w:rFonts w:hint="eastAsia" w:ascii="宋体" w:hAnsi="宋体" w:cs="宋体"/>
          <w:sz w:val="24"/>
        </w:rPr>
      </w:pPr>
    </w:p>
    <w:p>
      <w:pPr>
        <w:autoSpaceDE w:val="0"/>
        <w:autoSpaceDN w:val="0"/>
        <w:spacing w:line="460" w:lineRule="exact"/>
        <w:jc w:val="center"/>
        <w:rPr>
          <w:rFonts w:hint="eastAsia" w:ascii="宋体" w:hAnsi="宋体" w:cs="宋体"/>
          <w:sz w:val="24"/>
        </w:rPr>
      </w:pPr>
      <w:r>
        <w:rPr>
          <w:rFonts w:hint="eastAsia" w:ascii="宋体" w:hAnsi="宋体" w:cs="宋体"/>
          <w:sz w:val="24"/>
        </w:rPr>
        <w:t>年月日</w:t>
      </w:r>
    </w:p>
    <w:p>
      <w:pPr>
        <w:rPr>
          <w:rFonts w:hint="eastAsia" w:ascii="宋体" w:hAnsi="宋体" w:cs="宋体"/>
          <w:sz w:val="24"/>
        </w:rPr>
      </w:pPr>
      <w:r>
        <w:rPr>
          <w:rFonts w:hint="eastAsia" w:ascii="宋体" w:hAnsi="宋体" w:cs="宋体"/>
          <w:sz w:val="24"/>
        </w:rPr>
        <w:t>格式九：</w:t>
      </w:r>
    </w:p>
    <w:p>
      <w:pPr>
        <w:rPr>
          <w:rFonts w:hint="eastAsia" w:ascii="宋体" w:hAnsi="宋体" w:cs="宋体"/>
          <w:sz w:val="24"/>
        </w:rPr>
      </w:pPr>
    </w:p>
    <w:p>
      <w:pPr>
        <w:adjustRightInd w:val="0"/>
        <w:snapToGrid w:val="0"/>
        <w:spacing w:line="360" w:lineRule="auto"/>
        <w:jc w:val="center"/>
        <w:outlineLvl w:val="1"/>
        <w:rPr>
          <w:rFonts w:hint="eastAsia" w:ascii="宋体" w:hAnsi="宋体" w:cs="宋体"/>
          <w:b/>
          <w:sz w:val="28"/>
          <w:szCs w:val="28"/>
        </w:rPr>
      </w:pPr>
      <w:bookmarkStart w:id="100" w:name="_Toc25803"/>
      <w:bookmarkStart w:id="101" w:name="_Toc17837"/>
      <w:bookmarkStart w:id="102" w:name="_Toc9041"/>
      <w:r>
        <w:rPr>
          <w:rFonts w:hint="eastAsia" w:ascii="宋体" w:hAnsi="宋体" w:cs="宋体"/>
          <w:b/>
          <w:sz w:val="28"/>
          <w:szCs w:val="28"/>
          <w:lang w:val="zh-CN"/>
        </w:rPr>
        <w:t>八、各类证明材料</w:t>
      </w:r>
      <w:bookmarkEnd w:id="100"/>
      <w:bookmarkEnd w:id="101"/>
      <w:bookmarkEnd w:id="102"/>
    </w:p>
    <w:p>
      <w:pPr>
        <w:spacing w:line="520" w:lineRule="exact"/>
        <w:ind w:firstLine="480" w:firstLineChars="200"/>
        <w:rPr>
          <w:rFonts w:hint="eastAsia" w:ascii="宋体" w:hAnsi="宋体" w:cs="宋体"/>
          <w:bCs/>
          <w:sz w:val="24"/>
        </w:rPr>
      </w:pPr>
    </w:p>
    <w:p>
      <w:pPr>
        <w:spacing w:line="520" w:lineRule="exact"/>
        <w:ind w:firstLine="480" w:firstLineChars="200"/>
        <w:rPr>
          <w:rFonts w:hint="eastAsia" w:ascii="宋体" w:hAnsi="宋体" w:cs="宋体"/>
          <w:bCs/>
          <w:sz w:val="24"/>
        </w:rPr>
      </w:pPr>
      <w:r>
        <w:rPr>
          <w:rFonts w:hint="eastAsia" w:ascii="宋体" w:hAnsi="宋体" w:cs="宋体"/>
          <w:bCs/>
          <w:sz w:val="24"/>
        </w:rPr>
        <w:t>本部分材料的内容及顺序见第五章的要求及竞争性磋商文件要求的其他商务内容。</w:t>
      </w:r>
    </w:p>
    <w:p>
      <w:pPr>
        <w:numPr>
          <w:ilvl w:val="0"/>
          <w:numId w:val="0"/>
        </w:numPr>
        <w:spacing w:line="360" w:lineRule="auto"/>
        <w:jc w:val="both"/>
        <w:outlineLvl w:val="1"/>
        <w:rPr>
          <w:rFonts w:hint="eastAsia" w:ascii="宋体" w:hAnsi="宋体" w:cs="宋体"/>
          <w:b/>
          <w:bCs/>
          <w:kern w:val="0"/>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BDA5124-AC4E-4AC2-B4B4-2F3EA7128C1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A00002BF" w:usb1="184F6CFA" w:usb2="00000012" w:usb3="00000000" w:csb0="00040001" w:csb1="00000000"/>
    <w:embedRegular r:id="rId2" w:fontKey="{75CECD49-BE6A-45EE-94A2-7F90BB7C786B}"/>
  </w:font>
  <w:font w:name="方正公文小标宋">
    <w:altName w:val="方正小标宋_GBK"/>
    <w:panose1 w:val="02000500000000000000"/>
    <w:charset w:val="86"/>
    <w:family w:val="auto"/>
    <w:pitch w:val="default"/>
    <w:sig w:usb0="00000000" w:usb1="00000000" w:usb2="00000016" w:usb3="00000000" w:csb0="00040001" w:csb1="00000000"/>
    <w:embedRegular r:id="rId3" w:fontKey="{8530AD39-3F0D-4028-BF44-7429EEDB41C1}"/>
  </w:font>
  <w:font w:name="仿宋_GB2312">
    <w:panose1 w:val="02010609030101010101"/>
    <w:charset w:val="86"/>
    <w:family w:val="auto"/>
    <w:pitch w:val="default"/>
    <w:sig w:usb0="00000001" w:usb1="080E0000" w:usb2="00000000" w:usb3="00000000" w:csb0="00040000" w:csb1="00000000"/>
    <w:embedRegular r:id="rId4" w:fontKey="{0E1419A1-FDD4-4F5D-9A7F-46F25CD11BF4}"/>
  </w:font>
  <w:font w:name="CESI仿宋-GB2312">
    <w:altName w:val="仿宋"/>
    <w:panose1 w:val="02000500000000000000"/>
    <w:charset w:val="86"/>
    <w:family w:val="auto"/>
    <w:pitch w:val="default"/>
    <w:sig w:usb0="00000000" w:usb1="00000000" w:usb2="00000010" w:usb3="00000000" w:csb0="0004000F" w:csb1="00000000"/>
    <w:embedRegular r:id="rId5" w:fontKey="{B26BF650-D6E4-4AA4-9A98-501998700244}"/>
  </w:font>
  <w:font w:name="新宋体">
    <w:panose1 w:val="02010609030101010101"/>
    <w:charset w:val="86"/>
    <w:family w:val="modern"/>
    <w:pitch w:val="default"/>
    <w:sig w:usb0="00000283" w:usb1="288F0000" w:usb2="00000006" w:usb3="00000000" w:csb0="00040001" w:csb1="00000000"/>
    <w:embedRegular r:id="rId6" w:fontKey="{9D53F0A3-620E-4405-B5F4-9B21527BBAC5}"/>
  </w:font>
  <w:font w:name="楷体_GB2312">
    <w:altName w:val="楷体"/>
    <w:panose1 w:val="02010609030101010101"/>
    <w:charset w:val="86"/>
    <w:family w:val="modern"/>
    <w:pitch w:val="default"/>
    <w:sig w:usb0="00000000" w:usb1="00000000" w:usb2="00000010" w:usb3="00000000" w:csb0="00040000" w:csb1="00000000"/>
    <w:embedRegular r:id="rId7" w:fontKey="{9CBEB3AF-9494-454B-A247-53DE7D2382A7}"/>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hint="eastAsia"/>
      </w:rPr>
    </w:pPr>
    <w:r>
      <w:rPr>
        <w:rFonts w:hint="eastAsia"/>
      </w:rPr>
      <w:t>AXZB19077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B31C1"/>
    <w:multiLevelType w:val="singleLevel"/>
    <w:tmpl w:val="D42B31C1"/>
    <w:lvl w:ilvl="0" w:tentative="0">
      <w:start w:val="1"/>
      <w:numFmt w:val="chineseCounting"/>
      <w:suff w:val="space"/>
      <w:lvlText w:val="第%1章"/>
      <w:lvlJc w:val="left"/>
      <w:rPr>
        <w:rFonts w:hint="eastAsia"/>
      </w:rPr>
    </w:lvl>
  </w:abstractNum>
  <w:abstractNum w:abstractNumId="1">
    <w:nsid w:val="F79B7530"/>
    <w:multiLevelType w:val="singleLevel"/>
    <w:tmpl w:val="F79B7530"/>
    <w:lvl w:ilvl="0" w:tentative="0">
      <w:start w:val="3"/>
      <w:numFmt w:val="decimal"/>
      <w:suff w:val="space"/>
      <w:lvlText w:val="%1."/>
      <w:lvlJc w:val="left"/>
    </w:lvl>
  </w:abstractNum>
  <w:abstractNum w:abstractNumId="2">
    <w:nsid w:val="00000004"/>
    <w:multiLevelType w:val="multilevel"/>
    <w:tmpl w:val="00000004"/>
    <w:lvl w:ilvl="0" w:tentative="0">
      <w:start w:val="3"/>
      <w:numFmt w:val="decimal"/>
      <w:lvlText w:val="%1."/>
      <w:lvlJc w:val="left"/>
    </w:lvl>
    <w:lvl w:ilvl="1" w:tentative="0">
      <w:start w:val="1"/>
      <w:numFmt w:val="decimal"/>
      <w:lvlText w:val="3.%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05"/>
    <w:multiLevelType w:val="multilevel"/>
    <w:tmpl w:val="00000005"/>
    <w:lvl w:ilvl="0" w:tentative="0">
      <w:start w:val="1"/>
      <w:numFmt w:val="decimal"/>
      <w:lvlText w:val="3.3.%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56FDD154"/>
    <w:multiLevelType w:val="singleLevel"/>
    <w:tmpl w:val="56FDD154"/>
    <w:lvl w:ilvl="0" w:tentative="0">
      <w:start w:val="4"/>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ED5CE9"/>
    <w:rsid w:val="20C04D43"/>
    <w:rsid w:val="2701693D"/>
    <w:rsid w:val="2F557EAC"/>
    <w:rsid w:val="440C3942"/>
    <w:rsid w:val="4A0C0BB2"/>
    <w:rsid w:val="5A662A3B"/>
    <w:rsid w:val="5BFF13D5"/>
    <w:rsid w:val="5F5C6A78"/>
    <w:rsid w:val="6B6F4133"/>
    <w:rsid w:val="6B8F6819"/>
    <w:rsid w:val="7302365F"/>
    <w:rsid w:val="74ABC2F2"/>
    <w:rsid w:val="77BAAECB"/>
    <w:rsid w:val="77C207F5"/>
    <w:rsid w:val="77F588F6"/>
    <w:rsid w:val="77FF0CC8"/>
    <w:rsid w:val="77FF93A6"/>
    <w:rsid w:val="7F6FAD0F"/>
    <w:rsid w:val="7FBF1F76"/>
    <w:rsid w:val="7FFE5448"/>
    <w:rsid w:val="BC7EA020"/>
    <w:rsid w:val="CF8C403C"/>
    <w:rsid w:val="DF7F741F"/>
    <w:rsid w:val="E5ED8FAC"/>
    <w:rsid w:val="E7FD974D"/>
    <w:rsid w:val="EF6E8D75"/>
    <w:rsid w:val="F7DF2AD3"/>
    <w:rsid w:val="F7E90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99"/>
    <w:pPr>
      <w:ind w:firstLine="420"/>
    </w:pPr>
    <w:rPr>
      <w:szCs w:val="20"/>
    </w:rPr>
  </w:style>
  <w:style w:type="paragraph" w:styleId="6">
    <w:name w:val="Body Text"/>
    <w:basedOn w:val="1"/>
    <w:next w:val="1"/>
    <w:semiHidden/>
    <w:qFormat/>
    <w:uiPriority w:val="0"/>
    <w:rPr>
      <w:rFonts w:ascii="宋体" w:hAnsi="宋体" w:eastAsia="宋体" w:cs="宋体"/>
      <w:sz w:val="15"/>
      <w:szCs w:val="15"/>
      <w:lang w:val="en-US" w:eastAsia="en-US" w:bidi="ar-SA"/>
    </w:rPr>
  </w:style>
  <w:style w:type="paragraph" w:styleId="7">
    <w:name w:val="Plain Text"/>
    <w:basedOn w:val="1"/>
    <w:qFormat/>
    <w:uiPriority w:val="99"/>
    <w:rPr>
      <w:rFonts w:ascii="宋体" w:hAnsi="Courier New"/>
      <w:kern w:val="0"/>
      <w:szCs w:val="21"/>
    </w:rPr>
  </w:style>
  <w:style w:type="paragraph" w:styleId="8">
    <w:name w:val="Body Text Indent 2"/>
    <w:basedOn w:val="1"/>
    <w:qFormat/>
    <w:uiPriority w:val="0"/>
    <w:pPr>
      <w:spacing w:after="120" w:line="480" w:lineRule="auto"/>
      <w:ind w:left="420" w:leftChars="200"/>
    </w:pPr>
    <w:rPr>
      <w:rFonts w:ascii="Times New Roman" w:hAnsi="Times New Roman"/>
      <w:kern w:val="0"/>
    </w:rPr>
  </w:style>
  <w:style w:type="paragraph" w:styleId="9">
    <w:name w:val="footer"/>
    <w:basedOn w:val="1"/>
    <w:qFormat/>
    <w:uiPriority w:val="99"/>
    <w:pPr>
      <w:tabs>
        <w:tab w:val="center" w:pos="4153"/>
        <w:tab w:val="right" w:pos="8306"/>
      </w:tabs>
      <w:snapToGrid w:val="0"/>
      <w:jc w:val="left"/>
    </w:pPr>
    <w:rPr>
      <w:rFonts w:ascii="Times New Roman" w:hAnsi="Times New Roman"/>
      <w:kern w:val="0"/>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Title"/>
    <w:basedOn w:val="1"/>
    <w:next w:val="1"/>
    <w:qFormat/>
    <w:uiPriority w:val="99"/>
    <w:pPr>
      <w:spacing w:before="240" w:after="60"/>
      <w:ind w:firstLine="0" w:firstLineChars="0"/>
      <w:jc w:val="center"/>
      <w:outlineLvl w:val="0"/>
    </w:pPr>
    <w:rPr>
      <w:rFonts w:ascii="Cambria" w:hAnsi="Cambria" w:eastAsia="方正小标宋简体"/>
      <w:b/>
      <w:bCs/>
      <w:sz w:val="44"/>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Body Text First Indent 2"/>
    <w:basedOn w:val="18"/>
    <w:next w:val="1"/>
    <w:qFormat/>
    <w:uiPriority w:val="0"/>
    <w:pPr>
      <w:spacing w:after="120" w:afterLines="0" w:line="240" w:lineRule="auto"/>
      <w:ind w:left="420" w:firstLine="210" w:firstLineChars="0"/>
    </w:pPr>
    <w:rPr>
      <w:sz w:val="21"/>
    </w:rPr>
  </w:style>
  <w:style w:type="paragraph" w:customStyle="1" w:styleId="18">
    <w:name w:val="Body Text Indent"/>
    <w:basedOn w:val="1"/>
    <w:next w:val="19"/>
    <w:qFormat/>
    <w:uiPriority w:val="0"/>
    <w:pPr>
      <w:spacing w:line="360" w:lineRule="auto"/>
      <w:ind w:firstLine="480" w:firstLineChars="200"/>
    </w:pPr>
    <w:rPr>
      <w:rFonts w:hAnsi="宋体"/>
      <w:sz w:val="24"/>
    </w:rPr>
  </w:style>
  <w:style w:type="paragraph" w:customStyle="1" w:styleId="19">
    <w:name w:val="envelope return"/>
    <w:basedOn w:val="1"/>
    <w:qFormat/>
    <w:uiPriority w:val="0"/>
  </w:style>
  <w:style w:type="paragraph" w:customStyle="1" w:styleId="20">
    <w:name w:val="_Style 3"/>
    <w:basedOn w:val="2"/>
    <w:next w:val="1"/>
    <w:qFormat/>
    <w:uiPriority w:val="39"/>
    <w:pPr>
      <w:widowControl/>
      <w:spacing w:before="480" w:after="0" w:line="276" w:lineRule="auto"/>
      <w:contextualSpacing/>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805</Words>
  <Characters>904</Characters>
  <Lines>0</Lines>
  <Paragraphs>0</Paragraphs>
  <TotalTime>11</TotalTime>
  <ScaleCrop>false</ScaleCrop>
  <LinksUpToDate>false</LinksUpToDate>
  <CharactersWithSpaces>932</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2024-12-03T17:17:00Z</dcterms:created>
  <dc:creator>77189</dc:creator>
  <cp:lastModifiedBy>邬</cp:lastModifiedBy>
  <dcterms:modified xsi:type="dcterms:W3CDTF">2024-12-04T04:45:11Z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5F23A5B6FE3E415E9AD3B0634AA9CADF</vt:lpwstr>
  </property>
</Properties>
</file>