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Style w:val="11"/>
          <w:rFonts w:hint="eastAsia" w:ascii="方正小标宋简体" w:hAnsi="方正小标宋简体" w:eastAsia="方正小标宋简体" w:cs="方正小标宋简体"/>
          <w:b w:val="0"/>
          <w:bCs w:val="0"/>
          <w:color w:val="000000" w:themeColor="text1"/>
          <w:sz w:val="44"/>
          <w:szCs w:val="44"/>
          <w:highlight w:val="none"/>
          <w14:textFill>
            <w14:solidFill>
              <w14:schemeClr w14:val="tx1"/>
            </w14:solidFill>
          </w14:textFill>
        </w:rPr>
      </w:pPr>
      <w:r>
        <w:rPr>
          <w:rStyle w:val="11"/>
          <w:rFonts w:hint="eastAsia" w:ascii="方正小标宋简体" w:hAnsi="方正小标宋简体" w:eastAsia="方正小标宋简体" w:cs="方正小标宋简体"/>
          <w:b w:val="0"/>
          <w:bCs w:val="0"/>
          <w:color w:val="000000" w:themeColor="text1"/>
          <w:sz w:val="44"/>
          <w:szCs w:val="44"/>
          <w:highlight w:val="none"/>
          <w14:textFill>
            <w14:solidFill>
              <w14:schemeClr w14:val="tx1"/>
            </w14:solidFill>
          </w14:textFill>
        </w:rPr>
        <w:t>呼和浩特市市长质量奖</w:t>
      </w:r>
      <w:r>
        <w:rPr>
          <w:rStyle w:val="11"/>
          <w:rFonts w:hint="eastAsia" w:ascii="方正小标宋简体" w:hAnsi="方正小标宋简体" w:eastAsia="方正小标宋简体" w:cs="方正小标宋简体"/>
          <w:b w:val="0"/>
          <w:bCs w:val="0"/>
          <w:color w:val="000000" w:themeColor="text1"/>
          <w:sz w:val="44"/>
          <w:szCs w:val="44"/>
          <w:highlight w:val="none"/>
          <w:lang w:eastAsia="zh-CN"/>
          <w14:textFill>
            <w14:solidFill>
              <w14:schemeClr w14:val="tx1"/>
            </w14:solidFill>
          </w14:textFill>
        </w:rPr>
        <w:t>管理</w:t>
      </w:r>
      <w:r>
        <w:rPr>
          <w:rStyle w:val="11"/>
          <w:rFonts w:hint="eastAsia" w:ascii="方正小标宋简体" w:hAnsi="方正小标宋简体" w:eastAsia="方正小标宋简体" w:cs="方正小标宋简体"/>
          <w:b w:val="0"/>
          <w:bCs w:val="0"/>
          <w:color w:val="000000" w:themeColor="text1"/>
          <w:sz w:val="44"/>
          <w:szCs w:val="44"/>
          <w:highlight w:val="none"/>
          <w14:textFill>
            <w14:solidFill>
              <w14:schemeClr w14:val="tx1"/>
            </w14:solidFill>
          </w14:textFill>
        </w:rPr>
        <w:t>办法</w:t>
      </w:r>
    </w:p>
    <w:p>
      <w:pPr>
        <w:pStyle w:val="12"/>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楷体_GB2312" w:hAnsi="楷体_GB2312" w:eastAsia="楷体_GB2312" w:cs="楷体_GB2312"/>
          <w:color w:val="000000" w:themeColor="text1"/>
          <w:sz w:val="32"/>
          <w:szCs w:val="32"/>
          <w:highlight w:val="none"/>
          <w:lang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lang w:eastAsia="zh-CN"/>
          <w14:textFill>
            <w14:solidFill>
              <w14:schemeClr w14:val="tx1"/>
            </w14:solidFill>
          </w14:textFill>
        </w:rPr>
        <w:t>（征求意见稿）</w:t>
      </w:r>
    </w:p>
    <w:p>
      <w:pPr>
        <w:pStyle w:val="12"/>
        <w:keepNext w:val="0"/>
        <w:keepLines w:val="0"/>
        <w:pageBreakBefore w:val="0"/>
        <w:widowControl w:val="0"/>
        <w:kinsoku/>
        <w:wordWrap/>
        <w:overflowPunct/>
        <w:topLinePunct w:val="0"/>
        <w:autoSpaceDE/>
        <w:autoSpaceDN/>
        <w:bidi w:val="0"/>
        <w:adjustRightInd/>
        <w:snapToGrid/>
        <w:spacing w:before="100" w:beforeAutospacing="1" w:after="100" w:afterAutospacing="1" w:line="540" w:lineRule="exact"/>
        <w:ind w:left="0" w:leftChars="0" w:firstLine="0" w:firstLineChars="0"/>
        <w:jc w:val="center"/>
        <w:textAlignment w:val="auto"/>
        <w:outlineLvl w:val="9"/>
        <w:rPr>
          <w:rFonts w:hint="eastAsia" w:ascii="黑体" w:hAnsi="黑体" w:eastAsia="黑体" w:cs="黑体"/>
          <w:b w:val="0"/>
          <w:bCs/>
          <w:color w:val="000000" w:themeColor="text1"/>
          <w:sz w:val="32"/>
          <w:szCs w:val="32"/>
          <w:highlight w:val="none"/>
          <w14:textFill>
            <w14:solidFill>
              <w14:schemeClr w14:val="tx1"/>
            </w14:solidFill>
          </w14:textFill>
        </w:rPr>
      </w:pPr>
      <w:r>
        <w:rPr>
          <w:rFonts w:hint="eastAsia" w:ascii="黑体" w:hAnsi="黑体" w:eastAsia="黑体" w:cs="黑体"/>
          <w:b w:val="0"/>
          <w:bCs/>
          <w:color w:val="000000" w:themeColor="text1"/>
          <w:sz w:val="32"/>
          <w:szCs w:val="32"/>
          <w:highlight w:val="none"/>
          <w14:textFill>
            <w14:solidFill>
              <w14:schemeClr w14:val="tx1"/>
            </w14:solidFill>
          </w14:textFill>
        </w:rPr>
        <w:t>第一章  总则</w:t>
      </w:r>
    </w:p>
    <w:p>
      <w:pPr>
        <w:pStyle w:val="12"/>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outlineLvl w:val="9"/>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pP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第</w:t>
      </w:r>
      <w:r>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t>一条</w:t>
      </w: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 xml:space="preserve"> 为推进质量强市建设，完善政府质量奖励制度，规范市长质量奖评审工作，树立质量先进标杆，根据《中华人民共和国产品质量法》的有关规定，结合本市实际，制定本办法。</w:t>
      </w:r>
    </w:p>
    <w:p>
      <w:pPr>
        <w:pStyle w:val="12"/>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outlineLvl w:val="9"/>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pPr>
      <w:r>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t>第二条</w:t>
      </w: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 xml:space="preserve">  </w:t>
      </w:r>
      <w:r>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t>市人民政府设立市长质量奖，</w:t>
      </w:r>
      <w:r>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t>主要</w:t>
      </w:r>
      <w:r>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t>授予有广泛社会知名度与影响力</w:t>
      </w:r>
      <w:r>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t>、在行业内质量和品牌提升方面绩效突出，对全市经济社会发展做出卓越贡献，在同行业中处于领先地位，取得显著质量效益</w:t>
      </w:r>
      <w:r>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t>的组织</w:t>
      </w:r>
      <w:r>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t>。</w:t>
      </w:r>
    </w:p>
    <w:p>
      <w:pPr>
        <w:pStyle w:val="12"/>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outlineLvl w:val="9"/>
        <w:rPr>
          <w:rFonts w:hint="eastAsia" w:ascii="CESI仿宋-GB18030" w:hAnsi="CESI仿宋-GB18030" w:eastAsia="CESI仿宋-GB18030" w:cs="CESI仿宋-GB18030"/>
          <w:b w:val="0"/>
          <w:bCs w:val="0"/>
          <w:color w:val="000000" w:themeColor="text1"/>
          <w:sz w:val="32"/>
          <w:szCs w:val="32"/>
          <w:highlight w:val="none"/>
          <w:lang w:eastAsia="zh-CN"/>
          <w14:textFill>
            <w14:solidFill>
              <w14:schemeClr w14:val="tx1"/>
            </w14:solidFill>
          </w14:textFill>
        </w:rPr>
      </w:pPr>
      <w:r>
        <w:rPr>
          <w:rFonts w:hint="eastAsia" w:ascii="CESI仿宋-GB18030" w:hAnsi="CESI仿宋-GB18030" w:eastAsia="CESI仿宋-GB18030" w:cs="CESI仿宋-GB18030"/>
          <w:b w:val="0"/>
          <w:bCs w:val="0"/>
          <w:color w:val="000000" w:themeColor="text1"/>
          <w:sz w:val="32"/>
          <w:szCs w:val="32"/>
          <w:highlight w:val="none"/>
          <w14:textFill>
            <w14:solidFill>
              <w14:schemeClr w14:val="tx1"/>
            </w14:solidFill>
          </w14:textFill>
        </w:rPr>
        <w:t>第三条 </w:t>
      </w:r>
      <w:r>
        <w:rPr>
          <w:rFonts w:hint="eastAsia" w:ascii="CESI仿宋-GB18030" w:hAnsi="CESI仿宋-GB18030" w:eastAsia="CESI仿宋-GB18030" w:cs="CESI仿宋-GB18030"/>
          <w:b w:val="0"/>
          <w:bCs w:val="0"/>
          <w:color w:val="000000" w:themeColor="text1"/>
          <w:sz w:val="32"/>
          <w:szCs w:val="32"/>
          <w:highlight w:val="none"/>
          <w:lang w:val="en-US" w:eastAsia="zh-CN"/>
          <w14:textFill>
            <w14:solidFill>
              <w14:schemeClr w14:val="tx1"/>
            </w14:solidFill>
          </w14:textFill>
        </w:rPr>
        <w:t xml:space="preserve"> </w:t>
      </w:r>
      <w:r>
        <w:rPr>
          <w:rFonts w:hint="eastAsia" w:ascii="CESI仿宋-GB18030" w:hAnsi="CESI仿宋-GB18030" w:eastAsia="CESI仿宋-GB18030" w:cs="CESI仿宋-GB18030"/>
          <w:b w:val="0"/>
          <w:bCs w:val="0"/>
          <w:color w:val="000000" w:themeColor="text1"/>
          <w:sz w:val="32"/>
          <w:szCs w:val="32"/>
          <w:highlight w:val="none"/>
          <w14:textFill>
            <w14:solidFill>
              <w14:schemeClr w14:val="tx1"/>
            </w14:solidFill>
          </w14:textFill>
        </w:rPr>
        <w:t>市长质量奖评</w:t>
      </w:r>
      <w:r>
        <w:rPr>
          <w:rFonts w:hint="eastAsia" w:ascii="CESI仿宋-GB18030" w:hAnsi="CESI仿宋-GB18030" w:eastAsia="CESI仿宋-GB18030" w:cs="CESI仿宋-GB18030"/>
          <w:b w:val="0"/>
          <w:bCs w:val="0"/>
          <w:color w:val="000000" w:themeColor="text1"/>
          <w:sz w:val="32"/>
          <w:szCs w:val="32"/>
          <w:highlight w:val="none"/>
          <w:lang w:eastAsia="zh-CN"/>
          <w14:textFill>
            <w14:solidFill>
              <w14:schemeClr w14:val="tx1"/>
            </w14:solidFill>
          </w14:textFill>
        </w:rPr>
        <w:t>审以“好中选优、树立标杆”为宗旨，遵循科学、公正、</w:t>
      </w:r>
      <w:r>
        <w:rPr>
          <w:rFonts w:hint="eastAsia" w:ascii="CESI仿宋-GB18030" w:hAnsi="CESI仿宋-GB18030" w:eastAsia="CESI仿宋-GB18030" w:cs="CESI仿宋-GB18030"/>
          <w:b w:val="0"/>
          <w:bCs w:val="0"/>
          <w:color w:val="000000" w:themeColor="text1"/>
          <w:sz w:val="32"/>
          <w:szCs w:val="32"/>
          <w:highlight w:val="none"/>
          <w14:textFill>
            <w14:solidFill>
              <w14:schemeClr w14:val="tx1"/>
            </w14:solidFill>
          </w14:textFill>
        </w:rPr>
        <w:t>公平</w:t>
      </w:r>
      <w:r>
        <w:rPr>
          <w:rFonts w:hint="eastAsia" w:ascii="CESI仿宋-GB18030" w:hAnsi="CESI仿宋-GB18030" w:eastAsia="CESI仿宋-GB18030" w:cs="CESI仿宋-GB18030"/>
          <w:b w:val="0"/>
          <w:bCs w:val="0"/>
          <w:color w:val="000000" w:themeColor="text1"/>
          <w:sz w:val="32"/>
          <w:szCs w:val="32"/>
          <w:highlight w:val="none"/>
          <w:lang w:eastAsia="zh-CN"/>
          <w14:textFill>
            <w14:solidFill>
              <w14:schemeClr w14:val="tx1"/>
            </w14:solidFill>
          </w14:textFill>
        </w:rPr>
        <w:t>、公开</w:t>
      </w:r>
      <w:r>
        <w:rPr>
          <w:rFonts w:hint="eastAsia" w:ascii="CESI仿宋-GB18030" w:hAnsi="CESI仿宋-GB18030" w:eastAsia="CESI仿宋-GB18030" w:cs="CESI仿宋-GB18030"/>
          <w:b w:val="0"/>
          <w:bCs w:val="0"/>
          <w:color w:val="000000" w:themeColor="text1"/>
          <w:sz w:val="32"/>
          <w:szCs w:val="32"/>
          <w:highlight w:val="none"/>
          <w14:textFill>
            <w14:solidFill>
              <w14:schemeClr w14:val="tx1"/>
            </w14:solidFill>
          </w14:textFill>
        </w:rPr>
        <w:t>的原则</w:t>
      </w:r>
      <w:r>
        <w:rPr>
          <w:rFonts w:hint="eastAsia" w:ascii="CESI仿宋-GB18030" w:hAnsi="CESI仿宋-GB18030" w:eastAsia="CESI仿宋-GB18030" w:cs="CESI仿宋-GB18030"/>
          <w:b w:val="0"/>
          <w:bCs w:val="0"/>
          <w:color w:val="000000" w:themeColor="text1"/>
          <w:sz w:val="32"/>
          <w:szCs w:val="32"/>
          <w:highlight w:val="none"/>
          <w:lang w:eastAsia="zh-CN"/>
          <w14:textFill>
            <w14:solidFill>
              <w14:schemeClr w14:val="tx1"/>
            </w14:solidFill>
          </w14:textFill>
        </w:rPr>
        <w:t>。在组织自愿申请的基础上，严格按照评审标准和程序开展。</w:t>
      </w:r>
    </w:p>
    <w:p>
      <w:pPr>
        <w:pStyle w:val="12"/>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outlineLvl w:val="9"/>
        <w:rPr>
          <w:rFonts w:hint="eastAsia" w:ascii="CESI仿宋-GB18030" w:hAnsi="CESI仿宋-GB18030" w:eastAsia="CESI仿宋-GB18030" w:cs="CESI仿宋-GB18030"/>
          <w:b/>
          <w:bCs/>
          <w:color w:val="000000" w:themeColor="text1"/>
          <w:sz w:val="32"/>
          <w:szCs w:val="32"/>
          <w:highlight w:val="none"/>
          <w:lang w:val="en-US" w:eastAsia="zh-CN"/>
          <w14:textFill>
            <w14:solidFill>
              <w14:schemeClr w14:val="tx1"/>
            </w14:solidFill>
          </w14:textFill>
        </w:rPr>
      </w:pPr>
      <w:r>
        <w:rPr>
          <w:rFonts w:hint="eastAsia" w:ascii="CESI仿宋-GB18030" w:hAnsi="CESI仿宋-GB18030" w:eastAsia="CESI仿宋-GB18030" w:cs="CESI仿宋-GB18030"/>
          <w:b w:val="0"/>
          <w:bCs w:val="0"/>
          <w:color w:val="000000" w:themeColor="text1"/>
          <w:sz w:val="32"/>
          <w:szCs w:val="32"/>
          <w:highlight w:val="none"/>
          <w:lang w:val="en-US" w:eastAsia="zh-CN"/>
          <w14:textFill>
            <w14:solidFill>
              <w14:schemeClr w14:val="tx1"/>
            </w14:solidFill>
          </w14:textFill>
        </w:rPr>
        <w:t>第四条  本办法所称组织，是指本市行政区域内登记、注册的各类企业、事业单位和科研机构等</w:t>
      </w:r>
      <w:r>
        <w:rPr>
          <w:rFonts w:hint="eastAsia" w:ascii="CESI仿宋-GB18030" w:hAnsi="CESI仿宋-GB18030" w:eastAsia="CESI仿宋-GB18030" w:cs="CESI仿宋-GB18030"/>
          <w:b/>
          <w:bCs/>
          <w:color w:val="000000" w:themeColor="text1"/>
          <w:sz w:val="32"/>
          <w:szCs w:val="32"/>
          <w:highlight w:val="none"/>
          <w:lang w:val="en-US" w:eastAsia="zh-CN"/>
          <w14:textFill>
            <w14:solidFill>
              <w14:schemeClr w14:val="tx1"/>
            </w14:solidFill>
          </w14:textFill>
        </w:rPr>
        <w:t>。 </w:t>
      </w:r>
    </w:p>
    <w:p>
      <w:pPr>
        <w:pStyle w:val="12"/>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outlineLvl w:val="9"/>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pPr>
      <w:r>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t>第五条</w:t>
      </w: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 xml:space="preserve"> 市长质量奖设置市长质量奖和市长质量奖提名奖两个奖项，评定周期为2年。市长质量奖每届获奖组织不超过5个。</w:t>
      </w:r>
      <w:r>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t>市长质量奖</w:t>
      </w: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提名奖，每届获奖组织不超过8个</w:t>
      </w:r>
      <w:r>
        <w:rPr>
          <w:rFonts w:hint="eastAsia" w:ascii="CESI仿宋-GB18030" w:hAnsi="CESI仿宋-GB18030" w:eastAsia="CESI仿宋-GB18030" w:cs="CESI仿宋-GB18030"/>
          <w:color w:val="000000" w:themeColor="text1"/>
          <w:sz w:val="32"/>
          <w:szCs w:val="32"/>
          <w:highlight w:val="none"/>
          <w:lang w:val="en" w:eastAsia="zh-CN"/>
          <w14:textFill>
            <w14:solidFill>
              <w14:schemeClr w14:val="tx1"/>
            </w14:solidFill>
          </w14:textFill>
        </w:rPr>
        <w:t>，</w:t>
      </w: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若无符合条件的组织，奖项可以空缺。</w:t>
      </w:r>
    </w:p>
    <w:p>
      <w:pPr>
        <w:pStyle w:val="12"/>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outlineLvl w:val="9"/>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pPr>
      <w:r>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t>第六条 申报市长质量奖不收取任何费用。奖励和工作经费列入年度财政预算。</w:t>
      </w:r>
    </w:p>
    <w:p>
      <w:pPr>
        <w:pStyle w:val="12"/>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outlineLvl w:val="9"/>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pPr>
      <w:r>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t>第七</w:t>
      </w:r>
      <w:r>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t>条 </w:t>
      </w: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 xml:space="preserve"> </w:t>
      </w:r>
      <w:r>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t>市长质量奖的申报、受理、评审、表彰和监督管理适用本办法。</w:t>
      </w:r>
    </w:p>
    <w:p>
      <w:pPr>
        <w:pStyle w:val="12"/>
        <w:keepNext w:val="0"/>
        <w:keepLines w:val="0"/>
        <w:pageBreakBefore w:val="0"/>
        <w:widowControl w:val="0"/>
        <w:kinsoku/>
        <w:wordWrap/>
        <w:overflowPunct/>
        <w:topLinePunct w:val="0"/>
        <w:autoSpaceDE/>
        <w:autoSpaceDN/>
        <w:bidi w:val="0"/>
        <w:adjustRightInd/>
        <w:snapToGrid/>
        <w:spacing w:before="100" w:beforeAutospacing="1" w:after="100" w:afterAutospacing="1" w:line="540" w:lineRule="exact"/>
        <w:ind w:left="0" w:leftChars="0" w:firstLine="0" w:firstLineChars="0"/>
        <w:jc w:val="center"/>
        <w:textAlignment w:val="auto"/>
        <w:outlineLvl w:val="9"/>
        <w:rPr>
          <w:rFonts w:hint="eastAsia" w:ascii="黑体" w:hAnsi="黑体" w:eastAsia="黑体" w:cs="黑体"/>
          <w:b w:val="0"/>
          <w:bCs/>
          <w:color w:val="000000" w:themeColor="text1"/>
          <w:sz w:val="32"/>
          <w:szCs w:val="32"/>
          <w:highlight w:val="none"/>
          <w14:textFill>
            <w14:solidFill>
              <w14:schemeClr w14:val="tx1"/>
            </w14:solidFill>
          </w14:textFill>
        </w:rPr>
      </w:pPr>
      <w:r>
        <w:rPr>
          <w:rFonts w:hint="eastAsia" w:ascii="黑体" w:hAnsi="黑体" w:eastAsia="黑体" w:cs="黑体"/>
          <w:b w:val="0"/>
          <w:bCs/>
          <w:color w:val="000000" w:themeColor="text1"/>
          <w:sz w:val="32"/>
          <w:szCs w:val="32"/>
          <w:highlight w:val="none"/>
          <w14:textFill>
            <w14:solidFill>
              <w14:schemeClr w14:val="tx1"/>
            </w14:solidFill>
          </w14:textFill>
        </w:rPr>
        <w:t>第二章  组织管理</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hint="eastAsia" w:ascii="CESI仿宋-GB18030" w:hAnsi="CESI仿宋-GB18030" w:eastAsia="CESI仿宋-GB18030" w:cs="CESI仿宋-GB18030"/>
          <w:i w:val="0"/>
          <w:iCs w:val="0"/>
          <w:caps w:val="0"/>
          <w:color w:val="000000" w:themeColor="text1"/>
          <w:spacing w:val="0"/>
          <w:sz w:val="32"/>
          <w:szCs w:val="32"/>
          <w:highlight w:val="none"/>
          <w:u w:val="none"/>
          <w:shd w:val="clear" w:color="auto" w:fill="auto"/>
          <w14:textFill>
            <w14:solidFill>
              <w14:schemeClr w14:val="tx1"/>
            </w14:solidFill>
          </w14:textFill>
        </w:rPr>
      </w:pPr>
      <w:r>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t>第</w:t>
      </w:r>
      <w:r>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t>八</w:t>
      </w:r>
      <w:r>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t>条</w:t>
      </w: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 xml:space="preserve"> </w:t>
      </w:r>
      <w:r>
        <w:rPr>
          <w:rFonts w:hint="eastAsia" w:ascii="CESI仿宋-GB18030" w:hAnsi="CESI仿宋-GB18030" w:eastAsia="CESI仿宋-GB18030" w:cs="CESI仿宋-GB18030"/>
          <w:i w:val="0"/>
          <w:iCs w:val="0"/>
          <w:caps w:val="0"/>
          <w:color w:val="000000" w:themeColor="text1"/>
          <w:spacing w:val="0"/>
          <w:sz w:val="32"/>
          <w:szCs w:val="32"/>
          <w:highlight w:val="none"/>
          <w:u w:val="none"/>
          <w:shd w:val="clear" w:color="auto" w:fill="auto"/>
          <w:lang w:eastAsia="zh-CN"/>
          <w14:textFill>
            <w14:solidFill>
              <w14:schemeClr w14:val="tx1"/>
            </w14:solidFill>
          </w14:textFill>
        </w:rPr>
        <w:t>呼和浩特市质量强市工作领导小组下设市长质量奖评审办公室。</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24" w:firstLineChars="200"/>
        <w:textAlignment w:val="auto"/>
        <w:outlineLvl w:val="9"/>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pP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 xml:space="preserve"> 该办公室设在市市场监督管理局。市市场监督管理局负责市长质量奖日常工作，组织制定、修订评审规则，建立管理评审专家库，制定评审工作计划，选定评审机构，监督评审工作，向领导小组报告评审结果，提出候选企业名单；开展培训、培育工作，组织宣传推广先进质量管理模式、方法，规范监督市长质量奖荣誉和标志的使用。</w:t>
      </w:r>
    </w:p>
    <w:p>
      <w:pPr>
        <w:pStyle w:val="12"/>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outlineLvl w:val="9"/>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pPr>
      <w:r>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t>第九条</w:t>
      </w: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 xml:space="preserve"> 各旗县区市场监督管理局、市质量强市工作领导小组成员单位负责本地区申报动员、推荐工作。</w:t>
      </w:r>
    </w:p>
    <w:p>
      <w:pPr>
        <w:pStyle w:val="12"/>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outlineLvl w:val="9"/>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pPr>
      <w:r>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t>第十条 市长质量奖评审过程中，应当充分发挥行业部门（协会）、技术机构、社会团体、中介机构和新闻媒体的作用，采取有效方式，广泛征求群众意见。</w:t>
      </w:r>
    </w:p>
    <w:p>
      <w:pPr>
        <w:pStyle w:val="12"/>
        <w:keepNext w:val="0"/>
        <w:keepLines w:val="0"/>
        <w:pageBreakBefore w:val="0"/>
        <w:widowControl w:val="0"/>
        <w:kinsoku/>
        <w:wordWrap/>
        <w:overflowPunct/>
        <w:topLinePunct w:val="0"/>
        <w:autoSpaceDE/>
        <w:autoSpaceDN/>
        <w:bidi w:val="0"/>
        <w:adjustRightInd/>
        <w:snapToGrid/>
        <w:spacing w:before="100" w:beforeAutospacing="1" w:after="100" w:afterAutospacing="1" w:line="540" w:lineRule="exact"/>
        <w:ind w:left="0" w:leftChars="0" w:firstLine="0" w:firstLineChars="0"/>
        <w:jc w:val="center"/>
        <w:textAlignment w:val="auto"/>
        <w:outlineLvl w:val="9"/>
        <w:rPr>
          <w:rFonts w:hint="eastAsia" w:ascii="黑体" w:hAnsi="黑体" w:eastAsia="黑体" w:cs="黑体"/>
          <w:b w:val="0"/>
          <w:bCs/>
          <w:color w:val="000000" w:themeColor="text1"/>
          <w:sz w:val="32"/>
          <w:szCs w:val="32"/>
          <w:highlight w:val="none"/>
          <w14:textFill>
            <w14:solidFill>
              <w14:schemeClr w14:val="tx1"/>
            </w14:solidFill>
          </w14:textFill>
        </w:rPr>
      </w:pPr>
      <w:r>
        <w:rPr>
          <w:rFonts w:hint="eastAsia" w:ascii="黑体" w:hAnsi="黑体" w:eastAsia="黑体" w:cs="黑体"/>
          <w:b w:val="0"/>
          <w:bCs/>
          <w:color w:val="000000" w:themeColor="text1"/>
          <w:sz w:val="32"/>
          <w:szCs w:val="32"/>
          <w:highlight w:val="none"/>
          <w14:textFill>
            <w14:solidFill>
              <w14:schemeClr w14:val="tx1"/>
            </w14:solidFill>
          </w14:textFill>
        </w:rPr>
        <w:t>第三章  申报条件</w:t>
      </w:r>
    </w:p>
    <w:p>
      <w:pPr>
        <w:pStyle w:val="12"/>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outlineLvl w:val="9"/>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pPr>
      <w:r>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t>第十</w:t>
      </w:r>
      <w:r>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t>一</w:t>
      </w:r>
      <w:r>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t>条</w:t>
      </w: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 xml:space="preserve"> </w:t>
      </w:r>
      <w:r>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t>申报市长质量奖的组织应当具备下列条件：</w:t>
      </w:r>
    </w:p>
    <w:p>
      <w:pPr>
        <w:pStyle w:val="12"/>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24" w:firstLineChars="200"/>
        <w:textAlignment w:val="auto"/>
        <w:outlineLvl w:val="9"/>
        <w:rPr>
          <w:rFonts w:hint="eastAsia" w:ascii="CESI仿宋-GB18030" w:hAnsi="CESI仿宋-GB18030" w:eastAsia="CESI仿宋-GB18030" w:cs="CESI仿宋-GB18030"/>
          <w:color w:val="000000" w:themeColor="text1"/>
          <w:sz w:val="32"/>
          <w:szCs w:val="32"/>
          <w:highlight w:val="none"/>
          <w:lang w:val="en" w:eastAsia="zh-CN"/>
          <w14:textFill>
            <w14:solidFill>
              <w14:schemeClr w14:val="tx1"/>
            </w14:solidFill>
          </w14:textFill>
        </w:rPr>
      </w:pP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依法在本市行政区域内登记注册，</w:t>
      </w:r>
      <w:r>
        <w:rPr>
          <w:rFonts w:hint="eastAsia" w:ascii="CESI仿宋-GB18030" w:hAnsi="CESI仿宋-GB18030" w:eastAsia="CESI仿宋-GB18030" w:cs="CESI仿宋-GB18030"/>
          <w:color w:val="000000" w:themeColor="text1"/>
          <w:sz w:val="32"/>
          <w:szCs w:val="32"/>
          <w:highlight w:val="none"/>
          <w:lang w:val="en" w:eastAsia="zh-CN"/>
          <w14:textFill>
            <w14:solidFill>
              <w14:schemeClr w14:val="tx1"/>
            </w14:solidFill>
          </w14:textFill>
        </w:rPr>
        <w:t>具有独立法人资格，连续正常生产经营</w:t>
      </w: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5</w:t>
      </w:r>
      <w:r>
        <w:rPr>
          <w:rFonts w:hint="eastAsia" w:ascii="CESI仿宋-GB18030" w:hAnsi="CESI仿宋-GB18030" w:eastAsia="CESI仿宋-GB18030" w:cs="CESI仿宋-GB18030"/>
          <w:color w:val="000000" w:themeColor="text1"/>
          <w:sz w:val="32"/>
          <w:szCs w:val="32"/>
          <w:highlight w:val="none"/>
          <w:lang w:val="en" w:eastAsia="zh-CN"/>
          <w14:textFill>
            <w14:solidFill>
              <w14:schemeClr w14:val="tx1"/>
            </w14:solidFill>
          </w14:textFill>
        </w:rPr>
        <w:t>年以上，符合</w:t>
      </w: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国家、自治区、有关</w:t>
      </w:r>
      <w:r>
        <w:rPr>
          <w:rFonts w:hint="eastAsia" w:ascii="CESI仿宋-GB18030" w:hAnsi="CESI仿宋-GB18030" w:eastAsia="CESI仿宋-GB18030" w:cs="CESI仿宋-GB18030"/>
          <w:color w:val="000000" w:themeColor="text1"/>
          <w:sz w:val="32"/>
          <w:szCs w:val="32"/>
          <w:highlight w:val="none"/>
          <w:lang w:val="en" w:eastAsia="zh-CN"/>
          <w14:textFill>
            <w14:solidFill>
              <w14:schemeClr w14:val="tx1"/>
            </w14:solidFill>
          </w14:textFill>
        </w:rPr>
        <w:t>产业、质量、环保、节能、安全等政策要求，具备有关资质或证照。</w:t>
      </w:r>
    </w:p>
    <w:p>
      <w:pPr>
        <w:pStyle w:val="12"/>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24" w:firstLineChars="200"/>
        <w:textAlignment w:val="auto"/>
        <w:outlineLvl w:val="9"/>
        <w:rPr>
          <w:rFonts w:hint="eastAsia" w:ascii="CESI仿宋-GB18030" w:hAnsi="CESI仿宋-GB18030" w:eastAsia="CESI仿宋-GB18030" w:cs="CESI仿宋-GB18030"/>
          <w:color w:val="000000" w:themeColor="text1"/>
          <w:sz w:val="32"/>
          <w:szCs w:val="32"/>
          <w:highlight w:val="none"/>
          <w:lang w:val="en" w:eastAsia="zh-CN"/>
          <w14:textFill>
            <w14:solidFill>
              <w14:schemeClr w14:val="tx1"/>
            </w14:solidFill>
          </w14:textFill>
        </w:rPr>
      </w:pPr>
      <w:r>
        <w:rPr>
          <w:rFonts w:hint="eastAsia" w:ascii="CESI仿宋-GB18030" w:hAnsi="CESI仿宋-GB18030" w:eastAsia="CESI仿宋-GB18030" w:cs="CESI仿宋-GB18030"/>
          <w:color w:val="000000" w:themeColor="text1"/>
          <w:sz w:val="32"/>
          <w:szCs w:val="32"/>
          <w:highlight w:val="none"/>
          <w:lang w:val="en" w:eastAsia="zh-CN"/>
          <w14:textFill>
            <w14:solidFill>
              <w14:schemeClr w14:val="tx1"/>
            </w14:solidFill>
          </w14:textFill>
        </w:rPr>
        <w:t>建立有效运行的质量管理体系，健全首席质量官制度，在生产经营中形成特色鲜明、科学先进的质量管理方法，建立持续完善机制，实施卓越绩效模式2年以上；</w:t>
      </w:r>
    </w:p>
    <w:p>
      <w:pPr>
        <w:pStyle w:val="12"/>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outlineLvl w:val="9"/>
        <w:rPr>
          <w:rFonts w:hint="eastAsia" w:ascii="CESI仿宋-GB18030" w:hAnsi="CESI仿宋-GB18030" w:eastAsia="CESI仿宋-GB18030" w:cs="CESI仿宋-GB18030"/>
          <w:color w:val="000000" w:themeColor="text1"/>
          <w:sz w:val="32"/>
          <w:szCs w:val="32"/>
          <w:highlight w:val="none"/>
          <w:lang w:val="en" w:eastAsia="zh-CN"/>
          <w14:textFill>
            <w14:solidFill>
              <w14:schemeClr w14:val="tx1"/>
            </w14:solidFill>
          </w14:textFill>
        </w:rPr>
      </w:pPr>
      <w:r>
        <w:rPr>
          <w:rFonts w:hint="eastAsia" w:ascii="CESI仿宋-GB18030" w:hAnsi="CESI仿宋-GB18030" w:eastAsia="CESI仿宋-GB18030" w:cs="CESI仿宋-GB18030"/>
          <w:color w:val="000000" w:themeColor="text1"/>
          <w:sz w:val="32"/>
          <w:szCs w:val="32"/>
          <w:highlight w:val="none"/>
          <w:lang w:val="en" w:eastAsia="zh-CN"/>
          <w14:textFill>
            <w14:solidFill>
              <w14:schemeClr w14:val="tx1"/>
            </w14:solidFill>
          </w14:textFill>
        </w:rPr>
        <w:t>（三）坚持以质取胜的发展理念，倡导质量文化，大力推进质量变革创新。从事生产经营活动的单位，其主要经济、技术指标和质量水平居全市同行业前列；从事非营利性业务的单位，社会贡献居全市同行业前列。</w:t>
      </w:r>
    </w:p>
    <w:p>
      <w:pPr>
        <w:pStyle w:val="12"/>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outlineLvl w:val="9"/>
        <w:rPr>
          <w:rFonts w:hint="eastAsia" w:ascii="CESI仿宋-GB18030" w:hAnsi="CESI仿宋-GB18030" w:eastAsia="CESI仿宋-GB18030" w:cs="CESI仿宋-GB18030"/>
          <w:color w:val="000000" w:themeColor="text1"/>
          <w:sz w:val="32"/>
          <w:szCs w:val="32"/>
          <w:highlight w:val="none"/>
          <w:lang w:val="en" w:eastAsia="zh-CN"/>
          <w14:textFill>
            <w14:solidFill>
              <w14:schemeClr w14:val="tx1"/>
            </w14:solidFill>
          </w14:textFill>
        </w:rPr>
      </w:pPr>
      <w:r>
        <w:rPr>
          <w:rFonts w:hint="eastAsia" w:ascii="CESI仿宋-GB18030" w:hAnsi="CESI仿宋-GB18030" w:eastAsia="CESI仿宋-GB18030" w:cs="CESI仿宋-GB18030"/>
          <w:color w:val="000000" w:themeColor="text1"/>
          <w:sz w:val="32"/>
          <w:szCs w:val="32"/>
          <w:highlight w:val="none"/>
          <w:lang w:val="en" w:eastAsia="zh-CN"/>
          <w14:textFill>
            <w14:solidFill>
              <w14:schemeClr w14:val="tx1"/>
            </w14:solidFill>
          </w14:textFill>
        </w:rPr>
        <w:t>（四）在质量发展、科技创新、品牌建设、经济社会效益、节能降耗减排、生态环境保护和履行社会责任等方面取得突出成效。</w:t>
      </w:r>
    </w:p>
    <w:p>
      <w:pPr>
        <w:pStyle w:val="12"/>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outlineLvl w:val="9"/>
        <w:rPr>
          <w:rFonts w:hint="eastAsia" w:ascii="CESI仿宋-GB18030" w:hAnsi="CESI仿宋-GB18030" w:eastAsia="CESI仿宋-GB18030" w:cs="CESI仿宋-GB18030"/>
          <w:color w:val="000000" w:themeColor="text1"/>
          <w:sz w:val="32"/>
          <w:szCs w:val="32"/>
          <w:highlight w:val="none"/>
          <w:lang w:val="en" w:eastAsia="zh-CN"/>
          <w14:textFill>
            <w14:solidFill>
              <w14:schemeClr w14:val="tx1"/>
            </w14:solidFill>
          </w14:textFill>
        </w:rPr>
      </w:pPr>
      <w:r>
        <w:rPr>
          <w:rFonts w:hint="eastAsia" w:ascii="CESI仿宋-GB18030" w:hAnsi="CESI仿宋-GB18030" w:eastAsia="CESI仿宋-GB18030" w:cs="CESI仿宋-GB18030"/>
          <w:color w:val="000000" w:themeColor="text1"/>
          <w:sz w:val="32"/>
          <w:szCs w:val="32"/>
          <w:highlight w:val="none"/>
          <w:lang w:val="en" w:eastAsia="zh-CN"/>
          <w14:textFill>
            <w14:solidFill>
              <w14:schemeClr w14:val="tx1"/>
            </w14:solidFill>
          </w14:textFill>
        </w:rPr>
        <w:t>（五）近3年内无质量、安全、环境污染、公共卫生等事故，无相关违法、违规、违纪和失信记录。</w:t>
      </w:r>
    </w:p>
    <w:p>
      <w:pPr>
        <w:pStyle w:val="12"/>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outlineLvl w:val="9"/>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pPr>
      <w:r>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t>第十</w:t>
      </w:r>
      <w:r>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t>二</w:t>
      </w:r>
      <w:r>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t>条</w:t>
      </w: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 xml:space="preserve"> </w:t>
      </w:r>
      <w:r>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t>申报市长质量奖提名奖的组织应当具备下列条件：</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624" w:firstLineChars="200"/>
        <w:textAlignment w:val="auto"/>
        <w:outlineLvl w:val="9"/>
        <w:rPr>
          <w:rFonts w:hint="eastAsia" w:ascii="CESI仿宋-GB18030" w:hAnsi="CESI仿宋-GB18030" w:eastAsia="CESI仿宋-GB18030" w:cs="CESI仿宋-GB18030"/>
          <w:color w:val="000000" w:themeColor="text1"/>
          <w:sz w:val="32"/>
          <w:szCs w:val="32"/>
          <w:highlight w:val="none"/>
          <w:lang w:val="en" w:eastAsia="zh-CN"/>
          <w14:textFill>
            <w14:solidFill>
              <w14:schemeClr w14:val="tx1"/>
            </w14:solidFill>
          </w14:textFill>
        </w:rPr>
      </w:pP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依法在本市行政区域内登记注册，</w:t>
      </w:r>
      <w:r>
        <w:rPr>
          <w:rFonts w:hint="eastAsia" w:ascii="CESI仿宋-GB18030" w:hAnsi="CESI仿宋-GB18030" w:eastAsia="CESI仿宋-GB18030" w:cs="CESI仿宋-GB18030"/>
          <w:color w:val="000000" w:themeColor="text1"/>
          <w:sz w:val="32"/>
          <w:szCs w:val="32"/>
          <w:highlight w:val="none"/>
          <w:lang w:val="en" w:eastAsia="zh-CN"/>
          <w14:textFill>
            <w14:solidFill>
              <w14:schemeClr w14:val="tx1"/>
            </w14:solidFill>
          </w14:textFill>
        </w:rPr>
        <w:t>具有独立法人资格，连续正常生产经营</w:t>
      </w: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3</w:t>
      </w:r>
      <w:r>
        <w:rPr>
          <w:rFonts w:hint="eastAsia" w:ascii="CESI仿宋-GB18030" w:hAnsi="CESI仿宋-GB18030" w:eastAsia="CESI仿宋-GB18030" w:cs="CESI仿宋-GB18030"/>
          <w:color w:val="000000" w:themeColor="text1"/>
          <w:sz w:val="32"/>
          <w:szCs w:val="32"/>
          <w:highlight w:val="none"/>
          <w:lang w:val="en" w:eastAsia="zh-CN"/>
          <w14:textFill>
            <w14:solidFill>
              <w14:schemeClr w14:val="tx1"/>
            </w14:solidFill>
          </w14:textFill>
        </w:rPr>
        <w:t>年以上，符合</w:t>
      </w: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国家、自治区有关</w:t>
      </w:r>
      <w:r>
        <w:rPr>
          <w:rFonts w:hint="eastAsia" w:ascii="CESI仿宋-GB18030" w:hAnsi="CESI仿宋-GB18030" w:eastAsia="CESI仿宋-GB18030" w:cs="CESI仿宋-GB18030"/>
          <w:color w:val="000000" w:themeColor="text1"/>
          <w:sz w:val="32"/>
          <w:szCs w:val="32"/>
          <w:highlight w:val="none"/>
          <w:lang w:val="en" w:eastAsia="zh-CN"/>
          <w14:textFill>
            <w14:solidFill>
              <w14:schemeClr w14:val="tx1"/>
            </w14:solidFill>
          </w14:textFill>
        </w:rPr>
        <w:t>产业、质量、环保、节能、安全等政策要求，具备有关资质或证照。</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24" w:firstLineChars="200"/>
        <w:textAlignment w:val="auto"/>
        <w:outlineLvl w:val="9"/>
        <w:rPr>
          <w:rFonts w:hint="eastAsia" w:ascii="CESI仿宋-GB18030" w:hAnsi="CESI仿宋-GB18030" w:eastAsia="CESI仿宋-GB18030" w:cs="CESI仿宋-GB18030"/>
          <w:color w:val="000000" w:themeColor="text1"/>
          <w:sz w:val="32"/>
          <w:szCs w:val="32"/>
          <w:highlight w:val="none"/>
          <w:lang w:val="en" w:eastAsia="zh-CN"/>
          <w14:textFill>
            <w14:solidFill>
              <w14:schemeClr w14:val="tx1"/>
            </w14:solidFill>
          </w14:textFill>
        </w:rPr>
      </w:pPr>
      <w:r>
        <w:rPr>
          <w:rFonts w:hint="eastAsia" w:ascii="CESI仿宋-GB18030" w:hAnsi="CESI仿宋-GB18030" w:eastAsia="CESI仿宋-GB18030" w:cs="CESI仿宋-GB18030"/>
          <w:color w:val="000000" w:themeColor="text1"/>
          <w:sz w:val="32"/>
          <w:szCs w:val="32"/>
          <w:highlight w:val="none"/>
          <w:lang w:val="en" w:eastAsia="zh-CN"/>
          <w14:textFill>
            <w14:solidFill>
              <w14:schemeClr w14:val="tx1"/>
            </w14:solidFill>
          </w14:textFill>
        </w:rPr>
        <w:t>（二）质量管理体系健全，积极采用先进质量管理方法，建立首席质量官制度，质量管理制度、模式、方法有创新并有效运行，能力强、成长性较强的企业。</w:t>
      </w:r>
    </w:p>
    <w:p>
      <w:pPr>
        <w:pStyle w:val="12"/>
        <w:keepNext w:val="0"/>
        <w:keepLines w:val="0"/>
        <w:pageBreakBefore w:val="0"/>
        <w:widowControl w:val="0"/>
        <w:kinsoku/>
        <w:wordWrap/>
        <w:overflowPunct/>
        <w:topLinePunct w:val="0"/>
        <w:autoSpaceDE/>
        <w:autoSpaceDN/>
        <w:bidi w:val="0"/>
        <w:adjustRightInd/>
        <w:snapToGrid/>
        <w:spacing w:before="100" w:beforeAutospacing="1" w:after="100" w:afterAutospacing="1" w:line="540" w:lineRule="exact"/>
        <w:ind w:left="0" w:leftChars="0" w:firstLine="0" w:firstLineChars="0"/>
        <w:jc w:val="center"/>
        <w:textAlignment w:val="auto"/>
        <w:outlineLvl w:val="9"/>
        <w:rPr>
          <w:rFonts w:hint="eastAsia" w:ascii="黑体" w:hAnsi="黑体" w:eastAsia="黑体" w:cs="黑体"/>
          <w:b w:val="0"/>
          <w:bCs/>
          <w:color w:val="000000" w:themeColor="text1"/>
          <w:sz w:val="32"/>
          <w:szCs w:val="32"/>
          <w:highlight w:val="none"/>
          <w14:textFill>
            <w14:solidFill>
              <w14:schemeClr w14:val="tx1"/>
            </w14:solidFill>
          </w14:textFill>
        </w:rPr>
      </w:pPr>
      <w:r>
        <w:rPr>
          <w:rFonts w:hint="eastAsia" w:ascii="黑体" w:hAnsi="黑体" w:eastAsia="黑体" w:cs="黑体"/>
          <w:b w:val="0"/>
          <w:bCs/>
          <w:color w:val="000000" w:themeColor="text1"/>
          <w:sz w:val="32"/>
          <w:szCs w:val="32"/>
          <w:highlight w:val="none"/>
          <w14:textFill>
            <w14:solidFill>
              <w14:schemeClr w14:val="tx1"/>
            </w14:solidFill>
          </w14:textFill>
        </w:rPr>
        <w:t>第四章  评审标准</w:t>
      </w:r>
    </w:p>
    <w:p>
      <w:pPr>
        <w:pStyle w:val="12"/>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outlineLvl w:val="9"/>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pPr>
      <w:r>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t>第十</w:t>
      </w:r>
      <w:r>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t>三</w:t>
      </w:r>
      <w:r>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t>条 </w:t>
      </w: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 xml:space="preserve"> </w:t>
      </w:r>
      <w:r>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t>市长质量奖的评审依据</w:t>
      </w: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GB/T19580《卓越绩效评价准则》进行</w:t>
      </w:r>
      <w:r>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t>。</w:t>
      </w:r>
    </w:p>
    <w:p>
      <w:pPr>
        <w:pStyle w:val="12"/>
        <w:keepNext w:val="0"/>
        <w:keepLines w:val="0"/>
        <w:pageBreakBefore w:val="0"/>
        <w:widowControl w:val="0"/>
        <w:numPr>
          <w:ilvl w:val="0"/>
          <w:numId w:val="3"/>
        </w:numPr>
        <w:kinsoku/>
        <w:wordWrap/>
        <w:overflowPunct/>
        <w:topLinePunct w:val="0"/>
        <w:autoSpaceDE/>
        <w:autoSpaceDN/>
        <w:bidi w:val="0"/>
        <w:adjustRightInd/>
        <w:snapToGrid/>
        <w:spacing w:line="540" w:lineRule="exact"/>
        <w:ind w:firstLine="624" w:firstLineChars="200"/>
        <w:textAlignment w:val="auto"/>
        <w:outlineLvl w:val="9"/>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pPr>
      <w:r>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t>市长质量奖评审工作按照</w:t>
      </w: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《呼和浩特市市长质量奖评审实施细则》（以下简称：市长质量奖评审细则）开展。</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24" w:firstLineChars="200"/>
        <w:textAlignment w:val="auto"/>
        <w:outlineLvl w:val="9"/>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pP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市长质量奖评审细则</w:t>
      </w:r>
      <w:r>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t>依据</w:t>
      </w: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 xml:space="preserve">GB/T19580《卓越绩效评价准则》制定，经征求相关单位意见、履行公示程序后，正式发布施行。 </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24" w:firstLineChars="200"/>
        <w:textAlignment w:val="auto"/>
        <w:outlineLvl w:val="9"/>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pPr>
      <w:r>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t>在市长质量奖评审细则的统一规定下，可以按行业类别分别制</w:t>
      </w: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定</w:t>
      </w:r>
      <w:r>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t>评审细则，以保证在不同行业评审工作中的一致性。</w:t>
      </w:r>
    </w:p>
    <w:p>
      <w:pPr>
        <w:pStyle w:val="12"/>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outlineLvl w:val="9"/>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pPr>
      <w:r>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t xml:space="preserve"> 市长质量奖评审细则应当根据质量管理理论及其</w:t>
      </w:r>
      <w:bookmarkStart w:id="0" w:name="_GoBack"/>
      <w:bookmarkEnd w:id="0"/>
      <w:r>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t>实践的发展，适时进行修订。</w:t>
      </w:r>
    </w:p>
    <w:p>
      <w:pPr>
        <w:pStyle w:val="12"/>
        <w:keepNext w:val="0"/>
        <w:keepLines w:val="0"/>
        <w:pageBreakBefore w:val="0"/>
        <w:widowControl w:val="0"/>
        <w:kinsoku/>
        <w:wordWrap/>
        <w:overflowPunct/>
        <w:topLinePunct w:val="0"/>
        <w:autoSpaceDE/>
        <w:autoSpaceDN/>
        <w:bidi w:val="0"/>
        <w:adjustRightInd/>
        <w:snapToGrid/>
        <w:spacing w:before="100" w:beforeAutospacing="1" w:after="100" w:afterAutospacing="1" w:line="540" w:lineRule="exact"/>
        <w:ind w:left="0" w:leftChars="0" w:firstLine="0" w:firstLineChars="0"/>
        <w:jc w:val="center"/>
        <w:textAlignment w:val="auto"/>
        <w:outlineLvl w:val="9"/>
        <w:rPr>
          <w:rFonts w:hint="eastAsia" w:ascii="黑体" w:hAnsi="黑体" w:eastAsia="黑体" w:cs="黑体"/>
          <w:b w:val="0"/>
          <w:bCs/>
          <w:color w:val="000000" w:themeColor="text1"/>
          <w:sz w:val="32"/>
          <w:szCs w:val="32"/>
          <w:highlight w:val="none"/>
          <w14:textFill>
            <w14:solidFill>
              <w14:schemeClr w14:val="tx1"/>
            </w14:solidFill>
          </w14:textFill>
        </w:rPr>
      </w:pPr>
      <w:r>
        <w:rPr>
          <w:rFonts w:hint="eastAsia" w:ascii="黑体" w:hAnsi="黑体" w:eastAsia="黑体" w:cs="黑体"/>
          <w:b w:val="0"/>
          <w:bCs/>
          <w:color w:val="000000" w:themeColor="text1"/>
          <w:sz w:val="32"/>
          <w:szCs w:val="32"/>
          <w:highlight w:val="none"/>
          <w14:textFill>
            <w14:solidFill>
              <w14:schemeClr w14:val="tx1"/>
            </w14:solidFill>
          </w14:textFill>
        </w:rPr>
        <w:t>第五章  评审程序及奖励标准</w:t>
      </w:r>
    </w:p>
    <w:p>
      <w:pPr>
        <w:pStyle w:val="12"/>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outlineLvl w:val="9"/>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pPr>
      <w:r>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t>第十</w:t>
      </w:r>
      <w:r>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t>五</w:t>
      </w:r>
      <w:r>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t>条 </w:t>
      </w: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 xml:space="preserve"> </w:t>
      </w:r>
      <w:r>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t>市长质量奖的评审包括组织资格审核、材料评审、现场评审和陈述答辩。</w:t>
      </w:r>
    </w:p>
    <w:p>
      <w:pPr>
        <w:pStyle w:val="12"/>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outlineLvl w:val="9"/>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pP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第十六条</w:t>
      </w:r>
      <w:r>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t> </w:t>
      </w: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 xml:space="preserve"> </w:t>
      </w:r>
      <w:r>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t>申报</w:t>
      </w:r>
      <w:r>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t>组织在自愿的基础上如实填写申报材料，</w:t>
      </w:r>
      <w:r>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t>在规定时限内向</w:t>
      </w: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市质量强市工作领导小组成员单位或者</w:t>
      </w:r>
      <w:r>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t>旗县区市场监督管理局</w:t>
      </w:r>
      <w:r>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t>提交申报材料和相关</w:t>
      </w:r>
      <w:r>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t>证实性</w:t>
      </w:r>
      <w:r>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t>材料。</w:t>
      </w:r>
    </w:p>
    <w:p>
      <w:pPr>
        <w:pStyle w:val="12"/>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outlineLvl w:val="9"/>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pP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第十七条</w:t>
      </w:r>
      <w:r>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t> </w:t>
      </w: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 xml:space="preserve"> </w:t>
      </w:r>
      <w:r>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t>市市场监督管理局负责牵头组织开展评审工作。</w:t>
      </w:r>
    </w:p>
    <w:p>
      <w:pPr>
        <w:pStyle w:val="12"/>
        <w:keepNext w:val="0"/>
        <w:keepLines w:val="0"/>
        <w:pageBreakBefore w:val="0"/>
        <w:widowControl w:val="0"/>
        <w:numPr>
          <w:ilvl w:val="0"/>
          <w:numId w:val="4"/>
        </w:numPr>
        <w:kinsoku/>
        <w:wordWrap/>
        <w:overflowPunct/>
        <w:topLinePunct w:val="0"/>
        <w:autoSpaceDE/>
        <w:autoSpaceDN/>
        <w:bidi w:val="0"/>
        <w:adjustRightInd/>
        <w:snapToGrid/>
        <w:spacing w:line="540" w:lineRule="exact"/>
        <w:ind w:firstLine="624" w:firstLineChars="200"/>
        <w:textAlignment w:val="auto"/>
        <w:outlineLvl w:val="9"/>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pPr>
      <w:r>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t>资格审核。市市场监督管理局向相关行业和业务主管部门发出征求意见函，确定通过资格审查的单位名单。</w:t>
      </w:r>
    </w:p>
    <w:p>
      <w:pPr>
        <w:pStyle w:val="12"/>
        <w:keepNext w:val="0"/>
        <w:keepLines w:val="0"/>
        <w:pageBreakBefore w:val="0"/>
        <w:widowControl w:val="0"/>
        <w:numPr>
          <w:ilvl w:val="0"/>
          <w:numId w:val="4"/>
        </w:numPr>
        <w:kinsoku/>
        <w:wordWrap/>
        <w:overflowPunct/>
        <w:topLinePunct w:val="0"/>
        <w:autoSpaceDE/>
        <w:autoSpaceDN/>
        <w:bidi w:val="0"/>
        <w:adjustRightInd/>
        <w:snapToGrid/>
        <w:spacing w:line="540" w:lineRule="exact"/>
        <w:ind w:firstLine="624" w:firstLineChars="200"/>
        <w:textAlignment w:val="auto"/>
        <w:outlineLvl w:val="9"/>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pPr>
      <w:r>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t>材料评审。组建材料评审专家组，开展材料评审工作，形成评审意见和材料评审分数，市市场监督管理局综合各组评审结果确定进入现场评审单位名单。</w:t>
      </w:r>
    </w:p>
    <w:p>
      <w:pPr>
        <w:pStyle w:val="12"/>
        <w:keepNext w:val="0"/>
        <w:keepLines w:val="0"/>
        <w:pageBreakBefore w:val="0"/>
        <w:widowControl w:val="0"/>
        <w:numPr>
          <w:ilvl w:val="0"/>
          <w:numId w:val="4"/>
        </w:numPr>
        <w:kinsoku/>
        <w:wordWrap/>
        <w:overflowPunct/>
        <w:topLinePunct w:val="0"/>
        <w:autoSpaceDE/>
        <w:autoSpaceDN/>
        <w:bidi w:val="0"/>
        <w:adjustRightInd/>
        <w:snapToGrid/>
        <w:spacing w:line="540" w:lineRule="exact"/>
        <w:ind w:firstLine="624" w:firstLineChars="200"/>
        <w:textAlignment w:val="auto"/>
        <w:outlineLvl w:val="9"/>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pPr>
      <w:r>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t>现场评审。组建现场评审专家组，对进入现场评审环节的申报单位质量管理实践及过程结果等开展实地评价，形成评审意见和现场评审分数。</w:t>
      </w:r>
    </w:p>
    <w:p>
      <w:pPr>
        <w:pStyle w:val="12"/>
        <w:keepNext w:val="0"/>
        <w:keepLines w:val="0"/>
        <w:pageBreakBefore w:val="0"/>
        <w:widowControl w:val="0"/>
        <w:numPr>
          <w:ilvl w:val="0"/>
          <w:numId w:val="4"/>
        </w:numPr>
        <w:kinsoku/>
        <w:wordWrap/>
        <w:overflowPunct/>
        <w:topLinePunct w:val="0"/>
        <w:autoSpaceDE/>
        <w:autoSpaceDN/>
        <w:bidi w:val="0"/>
        <w:adjustRightInd/>
        <w:snapToGrid/>
        <w:spacing w:line="540" w:lineRule="exact"/>
        <w:ind w:left="0" w:leftChars="0" w:firstLine="624" w:firstLineChars="200"/>
        <w:textAlignment w:val="auto"/>
        <w:outlineLvl w:val="9"/>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pPr>
      <w:r>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t>陈述答辩。组建陈述答辩评审专家组，组织完成现场评审的申报单位主要负责人进行答辩，专家组形成评审意见和陈述答辩分数。</w:t>
      </w:r>
    </w:p>
    <w:p>
      <w:pPr>
        <w:pStyle w:val="12"/>
        <w:keepNext w:val="0"/>
        <w:keepLines w:val="0"/>
        <w:pageBreakBefore w:val="0"/>
        <w:widowControl w:val="0"/>
        <w:numPr>
          <w:ilvl w:val="0"/>
          <w:numId w:val="4"/>
        </w:numPr>
        <w:kinsoku/>
        <w:wordWrap/>
        <w:overflowPunct/>
        <w:topLinePunct w:val="0"/>
        <w:autoSpaceDE/>
        <w:autoSpaceDN/>
        <w:bidi w:val="0"/>
        <w:adjustRightInd/>
        <w:snapToGrid/>
        <w:spacing w:line="540" w:lineRule="exact"/>
        <w:ind w:left="0" w:leftChars="0" w:firstLine="624" w:firstLineChars="200"/>
        <w:textAlignment w:val="auto"/>
        <w:outlineLvl w:val="9"/>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pP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市市场监督管理局根据、材料评审、现场评审和陈述答辩结果，对申报单位进行综合评分，研究提出拟授奖候选名单，报呼和浩特市质量强市领导小组征求意见。</w:t>
      </w:r>
    </w:p>
    <w:p>
      <w:pPr>
        <w:pStyle w:val="12"/>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outlineLvl w:val="9"/>
        <w:rPr>
          <w:rFonts w:hint="eastAsia" w:ascii="CESI仿宋-GB18030" w:hAnsi="CESI仿宋-GB18030" w:eastAsia="CESI仿宋-GB18030" w:cs="CESI仿宋-GB18030"/>
          <w:color w:val="000000" w:themeColor="text1"/>
          <w:sz w:val="32"/>
          <w:szCs w:val="32"/>
          <w:highlight w:val="none"/>
          <w:lang w:val="en" w:eastAsia="zh-CN"/>
          <w14:textFill>
            <w14:solidFill>
              <w14:schemeClr w14:val="tx1"/>
            </w14:solidFill>
          </w14:textFill>
        </w:rPr>
      </w:pP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 xml:space="preserve">第十八条 </w:t>
      </w:r>
      <w:r>
        <w:rPr>
          <w:rFonts w:hint="eastAsia" w:ascii="CESI仿宋-GB18030" w:hAnsi="CESI仿宋-GB18030" w:eastAsia="CESI仿宋-GB18030" w:cs="CESI仿宋-GB18030"/>
          <w:color w:val="000000" w:themeColor="text1"/>
          <w:sz w:val="32"/>
          <w:szCs w:val="32"/>
          <w:highlight w:val="none"/>
          <w:lang w:val="en" w:eastAsia="zh-CN"/>
          <w14:textFill>
            <w14:solidFill>
              <w14:schemeClr w14:val="tx1"/>
            </w14:solidFill>
          </w14:textFill>
        </w:rPr>
        <w:t>市市场监督管理局根据</w:t>
      </w: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呼和浩特市质量强市领导小组意见</w:t>
      </w:r>
      <w:r>
        <w:rPr>
          <w:rFonts w:hint="eastAsia" w:ascii="CESI仿宋-GB18030" w:hAnsi="CESI仿宋-GB18030" w:eastAsia="CESI仿宋-GB18030" w:cs="CESI仿宋-GB18030"/>
          <w:color w:val="000000" w:themeColor="text1"/>
          <w:sz w:val="32"/>
          <w:szCs w:val="32"/>
          <w:highlight w:val="none"/>
          <w:lang w:val="en" w:eastAsia="zh-CN"/>
          <w14:textFill>
            <w14:solidFill>
              <w14:schemeClr w14:val="tx1"/>
            </w14:solidFill>
          </w14:textFill>
        </w:rPr>
        <w:t>，提出市长质量奖建议拟授奖名单，</w:t>
      </w: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报请市人民政府审议，形成市长质量奖拟授奖名单</w:t>
      </w:r>
      <w:r>
        <w:rPr>
          <w:rFonts w:hint="eastAsia" w:ascii="CESI仿宋-GB18030" w:hAnsi="CESI仿宋-GB18030" w:eastAsia="CESI仿宋-GB18030" w:cs="CESI仿宋-GB18030"/>
          <w:color w:val="000000" w:themeColor="text1"/>
          <w:sz w:val="32"/>
          <w:szCs w:val="32"/>
          <w:highlight w:val="none"/>
          <w:lang w:val="en" w:eastAsia="zh-CN"/>
          <w14:textFill>
            <w14:solidFill>
              <w14:schemeClr w14:val="tx1"/>
            </w14:solidFill>
          </w14:textFill>
        </w:rPr>
        <w:t>。市市场监督管理局向社会公示市长质量奖拟授奖名单，公示期为7个工作日。</w:t>
      </w:r>
    </w:p>
    <w:p>
      <w:pPr>
        <w:pStyle w:val="12"/>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outlineLvl w:val="9"/>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pPr>
      <w:r>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t>第</w:t>
      </w:r>
      <w:r>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t>十九</w:t>
      </w:r>
      <w:r>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t>条</w:t>
      </w: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 xml:space="preserve"> 经公示无异议的，报请市人民政府批准，由市人民政府通报表彰、颁发奖牌和证书。</w:t>
      </w:r>
    </w:p>
    <w:p>
      <w:pPr>
        <w:pStyle w:val="12"/>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outlineLvl w:val="9"/>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pP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市政府对</w:t>
      </w:r>
      <w:r>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t>获得市长质量奖的组织</w:t>
      </w:r>
      <w:r>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t>给予质量工作推广激励资金</w:t>
      </w:r>
      <w:r>
        <w:rPr>
          <w:rFonts w:hint="eastAsia" w:ascii="CESI仿宋-GB18030" w:hAnsi="CESI仿宋-GB18030" w:eastAsia="CESI仿宋-GB18030" w:cs="CESI仿宋-GB18030"/>
          <w:color w:val="000000" w:themeColor="text1"/>
          <w:sz w:val="32"/>
          <w:szCs w:val="32"/>
          <w:highlight w:val="none"/>
          <w:lang w:val="en"/>
          <w14:textFill>
            <w14:solidFill>
              <w14:schemeClr w14:val="tx1"/>
            </w14:solidFill>
          </w14:textFill>
        </w:rPr>
        <w:t>50</w:t>
      </w:r>
      <w:r>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t>万</w:t>
      </w:r>
      <w:r>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t>元</w:t>
      </w:r>
      <w:r>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t>，获得提名</w:t>
      </w:r>
      <w:r>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t>奖的组织给予质量工作推广激励资金</w:t>
      </w: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5</w:t>
      </w:r>
      <w:r>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t>万元</w:t>
      </w:r>
      <w:r>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t>。再次获得同一奖项的组织，不再给予质量工作推广激励资金。</w:t>
      </w:r>
    </w:p>
    <w:p>
      <w:pPr>
        <w:pStyle w:val="12"/>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outlineLvl w:val="9"/>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pPr>
      <w:r>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t>市长质量奖工作费用包括：申报材料评审费、现场评审费用、陈述答辩费用、先进质量管理方法推广费用等。市长质量奖工作经费按年度实际需求，列入财政年度预算。</w:t>
      </w:r>
    </w:p>
    <w:p>
      <w:pPr>
        <w:pStyle w:val="12"/>
        <w:keepNext w:val="0"/>
        <w:keepLines w:val="0"/>
        <w:pageBreakBefore w:val="0"/>
        <w:widowControl w:val="0"/>
        <w:kinsoku/>
        <w:wordWrap/>
        <w:overflowPunct/>
        <w:topLinePunct w:val="0"/>
        <w:autoSpaceDE/>
        <w:autoSpaceDN/>
        <w:bidi w:val="0"/>
        <w:adjustRightInd/>
        <w:snapToGrid/>
        <w:spacing w:before="100" w:beforeAutospacing="1" w:after="100" w:afterAutospacing="1" w:line="540" w:lineRule="exact"/>
        <w:ind w:left="0" w:leftChars="0" w:firstLine="0" w:firstLineChars="0"/>
        <w:jc w:val="center"/>
        <w:textAlignment w:val="auto"/>
        <w:outlineLvl w:val="9"/>
        <w:rPr>
          <w:rFonts w:hint="eastAsia" w:ascii="黑体" w:hAnsi="黑体" w:eastAsia="黑体" w:cs="黑体"/>
          <w:b w:val="0"/>
          <w:bCs/>
          <w:color w:val="000000" w:themeColor="text1"/>
          <w:sz w:val="32"/>
          <w:szCs w:val="32"/>
          <w:highlight w:val="none"/>
          <w14:textFill>
            <w14:solidFill>
              <w14:schemeClr w14:val="tx1"/>
            </w14:solidFill>
          </w14:textFill>
        </w:rPr>
      </w:pPr>
      <w:r>
        <w:rPr>
          <w:rFonts w:hint="eastAsia" w:ascii="黑体" w:hAnsi="黑体" w:eastAsia="黑体" w:cs="黑体"/>
          <w:b w:val="0"/>
          <w:bCs/>
          <w:color w:val="000000" w:themeColor="text1"/>
          <w:sz w:val="32"/>
          <w:szCs w:val="32"/>
          <w:highlight w:val="none"/>
          <w14:textFill>
            <w14:solidFill>
              <w14:schemeClr w14:val="tx1"/>
            </w14:solidFill>
          </w14:textFill>
        </w:rPr>
        <w:t>第六章  监督管理</w:t>
      </w:r>
    </w:p>
    <w:p>
      <w:pPr>
        <w:pStyle w:val="12"/>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outlineLvl w:val="9"/>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pP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第二十条</w:t>
      </w:r>
      <w:r>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t> </w:t>
      </w: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 xml:space="preserve"> 获奖组织获得的质量工作</w:t>
      </w:r>
      <w:r>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t>推广激励</w:t>
      </w: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资金主要用于持续推动质量改进、技术攻关、质量教育培训和质量基础建设等，不得挪作他用。获奖组织应当配合市市场监督管理局开展专项财政资金绩效评价。</w:t>
      </w:r>
    </w:p>
    <w:p>
      <w:pPr>
        <w:pStyle w:val="12"/>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outlineLvl w:val="9"/>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pP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第二十一条</w:t>
      </w:r>
      <w:r>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t> </w:t>
      </w: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 xml:space="preserve"> 获奖单位应发挥好模范带动作用，积极参与市市场监督管理局组织开展的先进质量管理经验和方法推广、宣传活动，积极履行社会责任。</w:t>
      </w:r>
    </w:p>
    <w:p>
      <w:pPr>
        <w:pStyle w:val="12"/>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outlineLvl w:val="9"/>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pP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第二十二条 获奖单位在获奖3年内，每年应当如实填写《市长质量奖质量管理绩效报告》，按时报送市市场监督管理局。</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24" w:firstLineChars="200"/>
        <w:textAlignment w:val="auto"/>
        <w:outlineLvl w:val="9"/>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pP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第二十三条 对在申报市长质量奖过程中弄虚作假，采取不正当手段骗取市长质量奖荣誉的组织，由市市场监督管理局提请市人民政府撤销奖励，并予以通报。</w:t>
      </w:r>
    </w:p>
    <w:p>
      <w:pPr>
        <w:pStyle w:val="12"/>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outlineLvl w:val="9"/>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pP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第二十四条</w:t>
      </w:r>
      <w:r>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t> </w:t>
      </w: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 xml:space="preserve"> 获奖组织在获得奖励后3年内发生较大质量和安全事故，或有严重违法违规生产经营行为的，由市市场监督管理局提请市人民政府撤销奖励，并予以通报。</w:t>
      </w:r>
    </w:p>
    <w:p>
      <w:pPr>
        <w:pStyle w:val="12"/>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outlineLvl w:val="9"/>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pPr>
      <w:r>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t>第二十五条</w:t>
      </w: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 xml:space="preserve"> </w:t>
      </w:r>
      <w:r>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t>获奖组织可以在企业形象宣传中使用获奖称号，并注明获奖年份，但不得在产品或包装上标注用于产品宣传。</w:t>
      </w:r>
    </w:p>
    <w:p>
      <w:pPr>
        <w:pStyle w:val="12"/>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outlineLvl w:val="9"/>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pP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第二十六条</w:t>
      </w:r>
      <w:r>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t> </w:t>
      </w:r>
      <w:r>
        <w:rPr>
          <w:rFonts w:hint="eastAsia" w:ascii="CESI仿宋-GB18030" w:hAnsi="CESI仿宋-GB18030" w:eastAsia="CESI仿宋-GB18030" w:cs="CESI仿宋-GB18030"/>
          <w:color w:val="000000" w:themeColor="text1"/>
          <w:sz w:val="32"/>
          <w:szCs w:val="32"/>
          <w:highlight w:val="none"/>
          <w:lang w:val="en" w:eastAsia="zh-CN"/>
          <w14:textFill>
            <w14:solidFill>
              <w14:schemeClr w14:val="tx1"/>
            </w14:solidFill>
          </w14:textFill>
        </w:rPr>
        <w:t>参与市长质量奖评审人员须严守工作纪律，保守申报单位的商业秘密、技术机密；评审工作人员与申报单位有利害关系的，本人应当回避。</w:t>
      </w:r>
    </w:p>
    <w:p>
      <w:pPr>
        <w:pStyle w:val="12"/>
        <w:keepNext w:val="0"/>
        <w:keepLines w:val="0"/>
        <w:pageBreakBefore w:val="0"/>
        <w:widowControl w:val="0"/>
        <w:kinsoku/>
        <w:wordWrap/>
        <w:overflowPunct/>
        <w:topLinePunct w:val="0"/>
        <w:autoSpaceDE/>
        <w:autoSpaceDN/>
        <w:bidi w:val="0"/>
        <w:adjustRightInd/>
        <w:snapToGrid/>
        <w:spacing w:before="100" w:beforeAutospacing="1" w:after="100" w:afterAutospacing="1" w:line="540" w:lineRule="exact"/>
        <w:ind w:left="0" w:leftChars="0" w:firstLine="0" w:firstLineChars="0"/>
        <w:jc w:val="center"/>
        <w:textAlignment w:val="auto"/>
        <w:outlineLvl w:val="9"/>
        <w:rPr>
          <w:rFonts w:hint="eastAsia" w:ascii="黑体" w:hAnsi="黑体" w:eastAsia="黑体" w:cs="黑体"/>
          <w:b w:val="0"/>
          <w:bCs/>
          <w:color w:val="000000" w:themeColor="text1"/>
          <w:sz w:val="32"/>
          <w:szCs w:val="32"/>
          <w:highlight w:val="none"/>
          <w14:textFill>
            <w14:solidFill>
              <w14:schemeClr w14:val="tx1"/>
            </w14:solidFill>
          </w14:textFill>
        </w:rPr>
      </w:pPr>
      <w:r>
        <w:rPr>
          <w:rFonts w:hint="eastAsia" w:ascii="黑体" w:hAnsi="黑体" w:eastAsia="黑体" w:cs="黑体"/>
          <w:b w:val="0"/>
          <w:bCs/>
          <w:color w:val="000000" w:themeColor="text1"/>
          <w:sz w:val="32"/>
          <w:szCs w:val="32"/>
          <w:highlight w:val="none"/>
          <w14:textFill>
            <w14:solidFill>
              <w14:schemeClr w14:val="tx1"/>
            </w14:solidFill>
          </w14:textFill>
        </w:rPr>
        <w:t>第七章  附则</w:t>
      </w:r>
    </w:p>
    <w:p>
      <w:pPr>
        <w:pStyle w:val="12"/>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outlineLvl w:val="9"/>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pP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第二十七条 本办法自印发之日起施行。</w:t>
      </w:r>
    </w:p>
    <w:sectPr>
      <w:footerReference r:id="rId3" w:type="default"/>
      <w:pgSz w:w="11906" w:h="16838"/>
      <w:pgMar w:top="2098" w:right="1474" w:bottom="1984" w:left="1587" w:header="851" w:footer="1332" w:gutter="0"/>
      <w:pgNumType w:fmt="numberInDash"/>
      <w:cols w:space="0" w:num="1"/>
      <w:rtlGutter w:val="0"/>
      <w:docGrid w:type="linesAndChars" w:linePitch="579"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CESI仿宋-GB18030">
    <w:altName w:val="仿宋"/>
    <w:panose1 w:val="02000500000000000000"/>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sdt>
      <w:sdtPr>
        <w:id w:val="7259897"/>
        <w:docPartObj>
          <w:docPartGallery w:val="autotext"/>
        </w:docPartObj>
      </w:sdtPr>
      <w:sdtContent>
        <w:sdt>
          <w:sdtPr>
            <w:id w:val="98381352"/>
            <w:docPartObj>
              <w:docPartGallery w:val="autotext"/>
            </w:docPartObj>
          </w:sdtPr>
          <w:sdtContent/>
        </w:sdt>
      </w:sdtContent>
    </w:sdt>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39E839"/>
    <w:multiLevelType w:val="singleLevel"/>
    <w:tmpl w:val="DF39E839"/>
    <w:lvl w:ilvl="0" w:tentative="0">
      <w:start w:val="14"/>
      <w:numFmt w:val="chineseCounting"/>
      <w:suff w:val="space"/>
      <w:lvlText w:val="第%1条"/>
      <w:lvlJc w:val="left"/>
      <w:rPr>
        <w:rFonts w:hint="eastAsia"/>
      </w:rPr>
    </w:lvl>
  </w:abstractNum>
  <w:abstractNum w:abstractNumId="1">
    <w:nsid w:val="FAFA3536"/>
    <w:multiLevelType w:val="singleLevel"/>
    <w:tmpl w:val="FAFA3536"/>
    <w:lvl w:ilvl="0" w:tentative="0">
      <w:start w:val="1"/>
      <w:numFmt w:val="chineseCounting"/>
      <w:suff w:val="nothing"/>
      <w:lvlText w:val="（%1）"/>
      <w:lvlJc w:val="left"/>
      <w:rPr>
        <w:rFonts w:hint="eastAsia"/>
      </w:rPr>
    </w:lvl>
  </w:abstractNum>
  <w:abstractNum w:abstractNumId="2">
    <w:nsid w:val="FFF55570"/>
    <w:multiLevelType w:val="singleLevel"/>
    <w:tmpl w:val="FFF55570"/>
    <w:lvl w:ilvl="0" w:tentative="0">
      <w:start w:val="1"/>
      <w:numFmt w:val="chineseCounting"/>
      <w:suff w:val="nothing"/>
      <w:lvlText w:val="（%1）"/>
      <w:lvlJc w:val="left"/>
      <w:rPr>
        <w:rFonts w:hint="eastAsia"/>
      </w:rPr>
    </w:lvl>
  </w:abstractNum>
  <w:abstractNum w:abstractNumId="3">
    <w:nsid w:val="FFFB68F2"/>
    <w:multiLevelType w:val="singleLevel"/>
    <w:tmpl w:val="FFFB68F2"/>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1"/>
  <w:drawingGridVerticalSpacing w:val="29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3F03E0"/>
    <w:rsid w:val="13CF0F56"/>
    <w:rsid w:val="18CB2140"/>
    <w:rsid w:val="1E7F047D"/>
    <w:rsid w:val="1FBB8153"/>
    <w:rsid w:val="1FDFE46C"/>
    <w:rsid w:val="222E52B3"/>
    <w:rsid w:val="2BDD0574"/>
    <w:rsid w:val="2F692D83"/>
    <w:rsid w:val="2F9DB13F"/>
    <w:rsid w:val="38DF3DBC"/>
    <w:rsid w:val="3AE59DDD"/>
    <w:rsid w:val="3E1303BC"/>
    <w:rsid w:val="3ED4A51D"/>
    <w:rsid w:val="3F77EF0B"/>
    <w:rsid w:val="3F7DB063"/>
    <w:rsid w:val="3FFF5468"/>
    <w:rsid w:val="47571662"/>
    <w:rsid w:val="4E58C76C"/>
    <w:rsid w:val="4EEE8D51"/>
    <w:rsid w:val="557C7942"/>
    <w:rsid w:val="5727938B"/>
    <w:rsid w:val="57B7F186"/>
    <w:rsid w:val="57FB0F71"/>
    <w:rsid w:val="59BD71D7"/>
    <w:rsid w:val="5FBE3213"/>
    <w:rsid w:val="5FFC20EC"/>
    <w:rsid w:val="6BDACFFE"/>
    <w:rsid w:val="6F7F5780"/>
    <w:rsid w:val="6FBF9E5C"/>
    <w:rsid w:val="6FD7EBE1"/>
    <w:rsid w:val="6FEF38CF"/>
    <w:rsid w:val="6FF2FB5E"/>
    <w:rsid w:val="6FFB9392"/>
    <w:rsid w:val="72A076D8"/>
    <w:rsid w:val="72F73292"/>
    <w:rsid w:val="73A71791"/>
    <w:rsid w:val="73FF368B"/>
    <w:rsid w:val="76EF70DC"/>
    <w:rsid w:val="77A57A8F"/>
    <w:rsid w:val="77CFEF3E"/>
    <w:rsid w:val="7BFF4D20"/>
    <w:rsid w:val="7EBF788B"/>
    <w:rsid w:val="7EE6ACC5"/>
    <w:rsid w:val="7F5DA0AE"/>
    <w:rsid w:val="7F676D27"/>
    <w:rsid w:val="7F8EA807"/>
    <w:rsid w:val="7F97549A"/>
    <w:rsid w:val="7FE4984E"/>
    <w:rsid w:val="7FFFA250"/>
    <w:rsid w:val="8FFE86A1"/>
    <w:rsid w:val="99A3666F"/>
    <w:rsid w:val="99DED135"/>
    <w:rsid w:val="9E9FBA44"/>
    <w:rsid w:val="9FB3CA8F"/>
    <w:rsid w:val="A35E5B7D"/>
    <w:rsid w:val="A7BE84DD"/>
    <w:rsid w:val="AAC7E792"/>
    <w:rsid w:val="B3EBC7E5"/>
    <w:rsid w:val="B6F1A563"/>
    <w:rsid w:val="BFFD8F45"/>
    <w:rsid w:val="C7B3E653"/>
    <w:rsid w:val="D4EF12F8"/>
    <w:rsid w:val="D6B0A336"/>
    <w:rsid w:val="D7CD1AD1"/>
    <w:rsid w:val="DF7F75B7"/>
    <w:rsid w:val="DFDCB82D"/>
    <w:rsid w:val="DFEDB63B"/>
    <w:rsid w:val="E7BF6764"/>
    <w:rsid w:val="EF3F03E0"/>
    <w:rsid w:val="EF73DC5D"/>
    <w:rsid w:val="EFBD0DB2"/>
    <w:rsid w:val="EFDD80BB"/>
    <w:rsid w:val="F1FF6FFC"/>
    <w:rsid w:val="F3FE5301"/>
    <w:rsid w:val="F73F4950"/>
    <w:rsid w:val="F77D62C5"/>
    <w:rsid w:val="F8F1F397"/>
    <w:rsid w:val="F9B1B340"/>
    <w:rsid w:val="FA7EE606"/>
    <w:rsid w:val="FAB7B8B4"/>
    <w:rsid w:val="FB5DF468"/>
    <w:rsid w:val="FBBE892A"/>
    <w:rsid w:val="FBFC1598"/>
    <w:rsid w:val="FCFDBE6A"/>
    <w:rsid w:val="FD5BFFA3"/>
    <w:rsid w:val="FDB77016"/>
    <w:rsid w:val="FDC61168"/>
    <w:rsid w:val="FDEE81C3"/>
    <w:rsid w:val="FDF820CF"/>
    <w:rsid w:val="FDFFD247"/>
    <w:rsid w:val="FEDDAEEE"/>
    <w:rsid w:val="FF7ECBA5"/>
    <w:rsid w:val="FF87B161"/>
    <w:rsid w:val="FFBFABE7"/>
    <w:rsid w:val="FFE2D88C"/>
    <w:rsid w:val="FFFB4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1"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itle"/>
    <w:basedOn w:val="1"/>
    <w:next w:val="3"/>
    <w:qFormat/>
    <w:uiPriority w:val="1"/>
    <w:pPr>
      <w:spacing w:before="240" w:after="60"/>
      <w:ind w:left="640" w:leftChars="200"/>
      <w:outlineLvl w:val="0"/>
    </w:pPr>
    <w:rPr>
      <w:rFonts w:ascii="Arial" w:hAnsi="Arial" w:eastAsia="仿宋_GB2312" w:cs="Times New Roman"/>
      <w:b/>
      <w:sz w:val="32"/>
    </w:rPr>
  </w:style>
  <w:style w:type="paragraph" w:styleId="3">
    <w:name w:val="Body Text Indent"/>
    <w:basedOn w:val="1"/>
    <w:next w:val="4"/>
    <w:unhideWhenUsed/>
    <w:qFormat/>
    <w:uiPriority w:val="1"/>
    <w:pPr>
      <w:spacing w:after="120"/>
      <w:ind w:left="420" w:leftChars="200"/>
    </w:pPr>
    <w:rPr>
      <w:rFonts w:ascii="Calibri" w:hAnsi="Calibri" w:eastAsia="宋体" w:cs="Times New Roman"/>
    </w:rPr>
  </w:style>
  <w:style w:type="paragraph" w:styleId="4">
    <w:name w:val="toc 2"/>
    <w:basedOn w:val="1"/>
    <w:next w:val="1"/>
    <w:qFormat/>
    <w:uiPriority w:val="0"/>
    <w:pPr>
      <w:ind w:left="420" w:leftChars="200"/>
    </w:pPr>
  </w:style>
  <w:style w:type="paragraph" w:styleId="5">
    <w:name w:val="annotation text"/>
    <w:basedOn w:val="1"/>
    <w:unhideWhenUsed/>
    <w:qFormat/>
    <w:uiPriority w:val="99"/>
    <w:pPr>
      <w:jc w:val="left"/>
    </w:p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Strong"/>
    <w:basedOn w:val="10"/>
    <w:qFormat/>
    <w:uiPriority w:val="22"/>
    <w:rPr>
      <w:b/>
      <w:bCs/>
    </w:rPr>
  </w:style>
  <w:style w:type="paragraph" w:styleId="1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2022-07-14T10:13:00Z</dcterms:created>
  <dc:creator>王静涛</dc:creator>
  <cp:lastModifiedBy>邬</cp:lastModifiedBy>
  <cp:lastPrinted>2024-02-25T11:21:00Z</cp:lastPrinted>
  <dcterms:modified xsi:type="dcterms:W3CDTF">2024-03-29T02:25:27Z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CAFC0F1101434BC7A53678BEE29D261C</vt:lpwstr>
  </property>
</Properties>
</file>